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w:t>
      </w:r>
    </w:p>
    <w:p>
      <w:pPr>
        <w:jc w:val="center"/>
        <w:rPr>
          <w:rFonts w:hint="eastAsia" w:ascii="宋体" w:hAnsi="宋体" w:eastAsia="宋体" w:cs="宋体"/>
          <w:b/>
          <w:bCs/>
          <w:sz w:val="44"/>
          <w:szCs w:val="44"/>
        </w:rPr>
      </w:pPr>
      <w:r>
        <w:rPr>
          <w:rFonts w:hint="eastAsia" w:ascii="宋体" w:hAnsi="宋体" w:eastAsia="宋体" w:cs="宋体"/>
          <w:b/>
          <w:bCs/>
          <w:sz w:val="44"/>
          <w:szCs w:val="44"/>
        </w:rPr>
        <w:t>福州英华职业学院专业诊断与改进评估指标体系与重点考察内容</w:t>
      </w:r>
    </w:p>
    <w:tbl>
      <w:tblPr>
        <w:tblStyle w:val="7"/>
        <w:tblW w:w="144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3"/>
        <w:gridCol w:w="2835"/>
        <w:gridCol w:w="4252"/>
        <w:gridCol w:w="55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tblHeader/>
          <w:jc w:val="center"/>
        </w:trPr>
        <w:tc>
          <w:tcPr>
            <w:tcW w:w="850" w:type="dxa"/>
            <w:vMerge w:val="restart"/>
            <w:vAlign w:val="center"/>
          </w:tcPr>
          <w:p>
            <w:pPr>
              <w:jc w:val="center"/>
              <w:rPr>
                <w:rFonts w:ascii="宋体"/>
                <w:b/>
                <w:sz w:val="24"/>
                <w:highlight w:val="none"/>
              </w:rPr>
            </w:pPr>
            <w:r>
              <w:rPr>
                <w:rFonts w:ascii="宋体"/>
                <w:b/>
                <w:sz w:val="24"/>
                <w:highlight w:val="none"/>
              </w:rPr>
              <w:t>一级</w:t>
            </w:r>
          </w:p>
          <w:p>
            <w:pPr>
              <w:jc w:val="center"/>
              <w:rPr>
                <w:rFonts w:ascii="宋体"/>
                <w:b/>
                <w:sz w:val="24"/>
                <w:highlight w:val="none"/>
              </w:rPr>
            </w:pPr>
            <w:r>
              <w:rPr>
                <w:rFonts w:ascii="宋体"/>
                <w:b/>
                <w:sz w:val="24"/>
                <w:highlight w:val="none"/>
              </w:rPr>
              <w:t>指标</w:t>
            </w:r>
          </w:p>
        </w:tc>
        <w:tc>
          <w:tcPr>
            <w:tcW w:w="993" w:type="dxa"/>
            <w:vMerge w:val="restart"/>
            <w:vAlign w:val="center"/>
          </w:tcPr>
          <w:p>
            <w:pPr>
              <w:jc w:val="center"/>
              <w:rPr>
                <w:rFonts w:ascii="宋体"/>
                <w:b/>
                <w:sz w:val="24"/>
                <w:highlight w:val="none"/>
              </w:rPr>
            </w:pPr>
            <w:r>
              <w:rPr>
                <w:rFonts w:hint="eastAsia" w:ascii="宋体"/>
                <w:b/>
                <w:sz w:val="24"/>
                <w:highlight w:val="none"/>
              </w:rPr>
              <w:t>二</w:t>
            </w:r>
            <w:r>
              <w:rPr>
                <w:rFonts w:ascii="宋体"/>
                <w:b/>
                <w:sz w:val="24"/>
                <w:highlight w:val="none"/>
              </w:rPr>
              <w:t>级指标</w:t>
            </w:r>
          </w:p>
        </w:tc>
        <w:tc>
          <w:tcPr>
            <w:tcW w:w="7087" w:type="dxa"/>
            <w:gridSpan w:val="2"/>
            <w:vAlign w:val="center"/>
          </w:tcPr>
          <w:p>
            <w:pPr>
              <w:jc w:val="center"/>
              <w:rPr>
                <w:rFonts w:ascii="宋体"/>
                <w:b/>
                <w:sz w:val="24"/>
                <w:highlight w:val="none"/>
              </w:rPr>
            </w:pPr>
            <w:r>
              <w:rPr>
                <w:rFonts w:hint="eastAsia" w:ascii="宋体"/>
                <w:b/>
                <w:sz w:val="24"/>
                <w:highlight w:val="none"/>
              </w:rPr>
              <w:t>指标内涵与标准</w:t>
            </w:r>
          </w:p>
        </w:tc>
        <w:tc>
          <w:tcPr>
            <w:tcW w:w="5514" w:type="dxa"/>
            <w:vMerge w:val="restart"/>
            <w:vAlign w:val="center"/>
          </w:tcPr>
          <w:p>
            <w:pPr>
              <w:jc w:val="center"/>
              <w:rPr>
                <w:rFonts w:ascii="宋体"/>
                <w:b/>
                <w:sz w:val="24"/>
                <w:highlight w:val="none"/>
              </w:rPr>
            </w:pPr>
            <w:r>
              <w:rPr>
                <w:rFonts w:hint="eastAsia" w:ascii="宋体"/>
                <w:b/>
                <w:sz w:val="24"/>
                <w:highlight w:val="none"/>
              </w:rPr>
              <w:t xml:space="preserve">重点考察内容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tblHeader/>
          <w:jc w:val="center"/>
        </w:trPr>
        <w:tc>
          <w:tcPr>
            <w:tcW w:w="850" w:type="dxa"/>
            <w:vMerge w:val="continue"/>
            <w:vAlign w:val="center"/>
          </w:tcPr>
          <w:p>
            <w:pPr>
              <w:jc w:val="center"/>
              <w:rPr>
                <w:rFonts w:ascii="宋体"/>
                <w:b/>
                <w:szCs w:val="21"/>
                <w:highlight w:val="none"/>
              </w:rPr>
            </w:pPr>
          </w:p>
        </w:tc>
        <w:tc>
          <w:tcPr>
            <w:tcW w:w="993" w:type="dxa"/>
            <w:vMerge w:val="continue"/>
            <w:vAlign w:val="center"/>
          </w:tcPr>
          <w:p>
            <w:pPr>
              <w:jc w:val="center"/>
              <w:rPr>
                <w:rFonts w:ascii="宋体"/>
                <w:b/>
                <w:szCs w:val="21"/>
                <w:highlight w:val="none"/>
              </w:rPr>
            </w:pPr>
          </w:p>
        </w:tc>
        <w:tc>
          <w:tcPr>
            <w:tcW w:w="2835" w:type="dxa"/>
            <w:vAlign w:val="center"/>
          </w:tcPr>
          <w:p>
            <w:pPr>
              <w:spacing w:line="320" w:lineRule="exact"/>
              <w:jc w:val="center"/>
              <w:rPr>
                <w:rFonts w:ascii="仿宋_GB2312" w:hAnsi="宋体" w:eastAsia="仿宋_GB2312"/>
                <w:snapToGrid w:val="0"/>
                <w:kern w:val="0"/>
                <w:sz w:val="24"/>
                <w:highlight w:val="none"/>
              </w:rPr>
            </w:pPr>
            <w:r>
              <w:rPr>
                <w:rFonts w:hint="eastAsia" w:ascii="宋体"/>
                <w:b/>
                <w:sz w:val="24"/>
                <w:highlight w:val="none"/>
              </w:rPr>
              <w:t>一般专业建设内涵与标准</w:t>
            </w:r>
          </w:p>
        </w:tc>
        <w:tc>
          <w:tcPr>
            <w:tcW w:w="4252" w:type="dxa"/>
            <w:vAlign w:val="center"/>
          </w:tcPr>
          <w:p>
            <w:pPr>
              <w:spacing w:line="320" w:lineRule="exact"/>
              <w:jc w:val="center"/>
              <w:rPr>
                <w:rFonts w:ascii="宋体"/>
                <w:b/>
                <w:sz w:val="24"/>
                <w:highlight w:val="none"/>
              </w:rPr>
            </w:pPr>
            <w:r>
              <w:rPr>
                <w:rFonts w:hint="eastAsia" w:ascii="宋体"/>
                <w:b/>
                <w:sz w:val="24"/>
                <w:highlight w:val="none"/>
                <w:lang w:val="en-US" w:eastAsia="zh-CN"/>
              </w:rPr>
              <w:t>核心</w:t>
            </w:r>
            <w:r>
              <w:rPr>
                <w:rFonts w:hint="eastAsia" w:ascii="宋体"/>
                <w:b/>
                <w:sz w:val="24"/>
                <w:highlight w:val="none"/>
              </w:rPr>
              <w:t>专业建设内涵与标准</w:t>
            </w:r>
          </w:p>
        </w:tc>
        <w:tc>
          <w:tcPr>
            <w:tcW w:w="5514" w:type="dxa"/>
            <w:vMerge w:val="continue"/>
          </w:tcPr>
          <w:p>
            <w:pPr>
              <w:jc w:val="center"/>
              <w:rPr>
                <w:rFonts w:asci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850" w:type="dxa"/>
            <w:vMerge w:val="restart"/>
            <w:vAlign w:val="center"/>
          </w:tcPr>
          <w:p>
            <w:pPr>
              <w:spacing w:line="320" w:lineRule="exact"/>
              <w:jc w:val="center"/>
              <w:rPr>
                <w:rFonts w:hint="eastAsia" w:ascii="仿宋" w:hAnsi="仿宋" w:eastAsia="仿宋" w:cs="仿宋"/>
                <w:b/>
                <w:sz w:val="24"/>
                <w:highlight w:val="none"/>
              </w:rPr>
            </w:pPr>
            <w:r>
              <w:rPr>
                <w:rFonts w:hint="eastAsia" w:ascii="仿宋" w:hAnsi="仿宋" w:eastAsia="仿宋" w:cs="仿宋"/>
                <w:b/>
                <w:sz w:val="24"/>
                <w:highlight w:val="none"/>
              </w:rPr>
              <w:t>1.专业定位、规划与专业管理（6分）</w:t>
            </w:r>
          </w:p>
        </w:tc>
        <w:tc>
          <w:tcPr>
            <w:tcW w:w="99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1.1专业定位</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snapToGrid w:val="0"/>
                <w:kern w:val="0"/>
                <w:sz w:val="24"/>
                <w:highlight w:val="none"/>
              </w:rPr>
            </w:pPr>
            <w:r>
              <w:rPr>
                <w:rFonts w:hint="eastAsia" w:ascii="仿宋" w:hAnsi="仿宋" w:eastAsia="仿宋" w:cs="仿宋"/>
                <w:b/>
                <w:bCs/>
                <w:snapToGrid w:val="0"/>
                <w:kern w:val="0"/>
                <w:sz w:val="24"/>
                <w:highlight w:val="none"/>
              </w:rPr>
              <w:t>（2分）</w:t>
            </w:r>
            <w:r>
              <w:rPr>
                <w:rFonts w:hint="eastAsia" w:ascii="仿宋" w:hAnsi="仿宋" w:eastAsia="仿宋" w:cs="仿宋"/>
                <w:snapToGrid w:val="0"/>
                <w:kern w:val="0"/>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snapToGrid w:val="0"/>
                <w:kern w:val="0"/>
                <w:sz w:val="24"/>
                <w:highlight w:val="none"/>
              </w:rPr>
            </w:pPr>
          </w:p>
        </w:tc>
        <w:tc>
          <w:tcPr>
            <w:tcW w:w="2835"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1.专业定位适应国家、地方经济社会和行业发展需要；</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2.每年开展专业调研，主题明确；数据详实可信，分析科学合理；动态调整、完善人才培养方案。</w:t>
            </w:r>
          </w:p>
        </w:tc>
        <w:tc>
          <w:tcPr>
            <w:tcW w:w="42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适应经济结构调整和产业转型升级需要，根据经济社会和产业发展新趋势对技术技能人才需求的变化，从专业与产业协同的视角谋划专业建设，组建以重点专业为龙头、相关专业为支撑的专业群，发挥专业群的集聚效应和整合功能，实现人才培养供给侧和产业需求侧结构要素的全方位融合；</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 以重点专业为基础构建专业群，发挥</w:t>
            </w:r>
            <w:r>
              <w:rPr>
                <w:rFonts w:hint="eastAsia" w:ascii="仿宋" w:hAnsi="仿宋" w:eastAsia="仿宋" w:cs="仿宋"/>
                <w:snapToGrid w:val="0"/>
                <w:kern w:val="0"/>
                <w:sz w:val="24"/>
                <w:highlight w:val="none"/>
                <w:lang w:val="en-US" w:eastAsia="zh-CN"/>
              </w:rPr>
              <w:t>核心</w:t>
            </w:r>
            <w:r>
              <w:rPr>
                <w:rFonts w:hint="eastAsia" w:ascii="仿宋" w:hAnsi="仿宋" w:eastAsia="仿宋" w:cs="仿宋"/>
                <w:snapToGrid w:val="0"/>
                <w:kern w:val="0"/>
                <w:sz w:val="24"/>
                <w:highlight w:val="none"/>
              </w:rPr>
              <w:t>专业优势特色，将产业链上的相关专业凝聚在一起，以专业群的集聚有效应对市场需求、产业升级、技术进步对人才供给的变动，引领带动群内相关专业提升内涵质量，实现资源共享、优势互补和综合利用，提高人才培养前瞻性、适应性和针对性。</w:t>
            </w:r>
          </w:p>
        </w:tc>
        <w:tc>
          <w:tcPr>
            <w:tcW w:w="55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1.1.1专业剖析报告及现场说专业；</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1.1.2专业社会需求调研报告及专业建设规划；</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1.1.3专业设置服务区域经济发展总结材料；</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1.1.4以重点专业为核心，辐射带动专业群发展的材料；</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1.1.5专业群建设方案与三年分年度实施计划。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0" w:type="dxa"/>
            <w:vMerge w:val="continue"/>
            <w:vAlign w:val="center"/>
          </w:tcPr>
          <w:p>
            <w:pPr>
              <w:jc w:val="left"/>
              <w:rPr>
                <w:rFonts w:hint="eastAsia" w:ascii="仿宋" w:hAnsi="仿宋" w:eastAsia="仿宋" w:cs="仿宋"/>
                <w:snapToGrid w:val="0"/>
                <w:kern w:val="0"/>
                <w:sz w:val="24"/>
                <w:highlight w:val="none"/>
              </w:rPr>
            </w:pPr>
          </w:p>
        </w:tc>
        <w:tc>
          <w:tcPr>
            <w:tcW w:w="99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1.2专业规划</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napToGrid w:val="0"/>
                <w:kern w:val="0"/>
                <w:sz w:val="24"/>
                <w:highlight w:val="none"/>
              </w:rPr>
            </w:pPr>
            <w:r>
              <w:rPr>
                <w:rFonts w:hint="eastAsia" w:ascii="仿宋" w:hAnsi="仿宋" w:eastAsia="仿宋" w:cs="仿宋"/>
                <w:b/>
                <w:bCs/>
                <w:snapToGrid w:val="0"/>
                <w:kern w:val="0"/>
                <w:sz w:val="24"/>
                <w:highlight w:val="none"/>
              </w:rPr>
              <w:t>（2分）</w:t>
            </w:r>
          </w:p>
        </w:tc>
        <w:tc>
          <w:tcPr>
            <w:tcW w:w="2835"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1.专业建设规划论证充分，目标明确，切实可行；</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2.有分阶段实施方案和年度工作计划。</w:t>
            </w:r>
          </w:p>
        </w:tc>
        <w:tc>
          <w:tcPr>
            <w:tcW w:w="4252"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适应福建省产业转型、技术升级，对接社会民生和“四新”人才需求，科学合理制定专业发展规划（规划期三年或五年），建立健全需求导向、对接产业、动态调整、自我完善的专业建设发展机制，提高人才培养与产业发展的契合度；</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Cs w:val="21"/>
                <w:highlight w:val="none"/>
              </w:rPr>
            </w:pPr>
            <w:r>
              <w:rPr>
                <w:rFonts w:hint="eastAsia" w:ascii="仿宋" w:hAnsi="仿宋" w:eastAsia="仿宋" w:cs="仿宋"/>
                <w:snapToGrid w:val="0"/>
                <w:kern w:val="0"/>
                <w:sz w:val="24"/>
                <w:highlight w:val="none"/>
              </w:rPr>
              <w:t>2.围绕产业链和职业岗位群构建专业群，着眼产业发展、职业岗位变化，提高专业集聚度，准确定位专业培养规格，与行业企业深度合作，打造技术技能人才培养高地和技术技能创新服务平台。</w:t>
            </w:r>
          </w:p>
        </w:tc>
        <w:tc>
          <w:tcPr>
            <w:tcW w:w="55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1.2.1区域经济、社会发展、行业等相关规划；</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1.2.2专业与福建省、福州市以及专业相关行业规划的匹配度分析；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1.2.3专业人才需求调查分析报告；</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1.2.4专业建设规划及论证材料；</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1.2.5专业年度工作计划与总结；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0" w:type="dxa"/>
            <w:vMerge w:val="continue"/>
            <w:vAlign w:val="center"/>
          </w:tcPr>
          <w:p>
            <w:pPr>
              <w:jc w:val="left"/>
              <w:rPr>
                <w:rFonts w:hint="eastAsia" w:ascii="仿宋" w:hAnsi="仿宋" w:eastAsia="仿宋" w:cs="仿宋"/>
                <w:snapToGrid w:val="0"/>
                <w:kern w:val="0"/>
                <w:sz w:val="24"/>
                <w:highlight w:val="none"/>
              </w:rPr>
            </w:pPr>
          </w:p>
        </w:tc>
        <w:tc>
          <w:tcPr>
            <w:tcW w:w="993" w:type="dxa"/>
            <w:vAlign w:val="center"/>
          </w:tcPr>
          <w:p>
            <w:pPr>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1.3专业建设管理（2分）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1.系部重视专业建设，制定了专业建设工作方案，可实施性强，执行效果好；</w:t>
            </w:r>
          </w:p>
          <w:p>
            <w:pPr>
              <w:snapToGrid w:val="0"/>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2.成立了行业企业专家参与的专业建设指导委员会并开展活动，指导作用显著；</w:t>
            </w:r>
          </w:p>
          <w:p>
            <w:pPr>
              <w:snapToGrid w:val="0"/>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3.成立了行业企业专家参与的专业建设小组并积极开展工作，参与人才培养方案的制订，参与专业建设的全过程；</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 落实“三全育人”构建全员、全过程、全方位育人的思想政治工作格局。</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建立和完善专业教学诊断与改进机制，促进专业与产业、教学过程与生产过程、课程内容与职业技能等级证书标准的有效对接，提高专业人才培养目标与企业岗位需求的吻合度，提升行业企业等利益相关方对人才培养质量的满意度；</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贯彻国家职业教育专业目录、专业教学标准和专业实训教学条件建设标准，引进借鉴先进成熟适用的国际（境外）专业教学标准，开发校本特色专业教学标准，推进专业升级和数字化改造，探索专业认证，提升专业建设质量；</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3.统筹系部育人资源和育人力量，构建全员、全过程、全方位育人的思想政治工作格局，打造“三全育人”典型和德育特色案例；</w:t>
            </w:r>
          </w:p>
          <w:p>
            <w:pPr>
              <w:snapToGrid w:val="0"/>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w:t>
            </w:r>
            <w:r>
              <w:rPr>
                <w:rFonts w:hint="eastAsia" w:ascii="仿宋" w:hAnsi="仿宋" w:eastAsia="仿宋" w:cs="仿宋"/>
                <w:snapToGrid w:val="0"/>
                <w:w w:val="99"/>
                <w:kern w:val="0"/>
                <w:sz w:val="24"/>
                <w:highlight w:val="none"/>
              </w:rPr>
              <w:t>适应产业数字化转型升级和技术变革发展趋势，以“信息技术+”促进专业升级和数字化改造，推进专业内涵提升。</w:t>
            </w:r>
          </w:p>
        </w:tc>
        <w:tc>
          <w:tcPr>
            <w:tcW w:w="5514"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lang w:val="en-US" w:eastAsia="zh-CN"/>
              </w:rPr>
              <w:t>1.</w:t>
            </w:r>
            <w:r>
              <w:rPr>
                <w:rFonts w:hint="eastAsia" w:ascii="仿宋" w:hAnsi="仿宋" w:eastAsia="仿宋" w:cs="仿宋"/>
                <w:snapToGrid w:val="0"/>
                <w:kern w:val="0"/>
                <w:sz w:val="24"/>
                <w:highlight w:val="none"/>
              </w:rPr>
              <w:t>3.1专业建设工作方案，实施性总结报告及执行情况佐证材料；</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1.3.2成立专业建设指导委员会文件及开展活动的过程性资料；</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1.3.3成立专业建设小组文件与企业行业专家参与专业建设的讨论记录、纪要及其建议的材料；</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1.3.4系、专业开展“三全育人”工作方案与实施的过程性材料、工作总结、案例；</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1.3.5系、专业开展教育教学管理研究的活动记录、总结及研究成果；</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1.3.6系、专业制订的各主要教学环节的质量标准文件及执行情况资料；</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1.3.7专业以“信息技术+”促进专业升级和数字化改造的计划、实施与成果材料；</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1.3.8系、专业结合自身专业特点制订的教学管理、质量监控等制度汇编以及能反映管理过程的资料；</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1.3.9学校颁发的教学质量保障和监控体系方面的文件及反映系、专业层面实施情况的资料；</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1.3.10系、专业教学质量监控与评价体系总结与运行材料；</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1.3.11各种教学检查的过程记录与总结；</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1.3.12系、专业实施专业自我诊断与改进制度及运行材料；</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1.3.13近三年教师手册；</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1.3.14有关教学及教学管理的师生专题座谈会材料及改进工作材料；</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1.3.15学生评教标准及近三年的评教原始材料；</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1.3.16近三年教师、系领导听课记录。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8" w:hRule="atLeast"/>
          <w:jc w:val="center"/>
        </w:trPr>
        <w:tc>
          <w:tcPr>
            <w:tcW w:w="850" w:type="dxa"/>
            <w:vMerge w:val="restart"/>
            <w:vAlign w:val="center"/>
          </w:tcPr>
          <w:p>
            <w:pPr>
              <w:spacing w:line="320" w:lineRule="exact"/>
              <w:jc w:val="center"/>
              <w:rPr>
                <w:rFonts w:hint="eastAsia" w:ascii="仿宋" w:hAnsi="仿宋" w:eastAsia="仿宋" w:cs="仿宋"/>
                <w:kern w:val="0"/>
                <w:sz w:val="24"/>
                <w:highlight w:val="none"/>
              </w:rPr>
            </w:pPr>
            <w:r>
              <w:rPr>
                <w:rFonts w:hint="eastAsia" w:ascii="仿宋" w:hAnsi="仿宋" w:eastAsia="仿宋" w:cs="仿宋"/>
                <w:b/>
                <w:sz w:val="24"/>
                <w:highlight w:val="none"/>
              </w:rPr>
              <w:t>2.人才培养方案（8分）</w:t>
            </w:r>
          </w:p>
        </w:tc>
        <w:tc>
          <w:tcPr>
            <w:tcW w:w="993" w:type="dxa"/>
            <w:vAlign w:val="center"/>
          </w:tcPr>
          <w:p>
            <w:pPr>
              <w:widowControl/>
              <w:spacing w:line="240" w:lineRule="atLeast"/>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2.1培养目标</w:t>
            </w:r>
          </w:p>
          <w:p>
            <w:pPr>
              <w:widowControl/>
              <w:spacing w:line="240" w:lineRule="atLeast"/>
              <w:jc w:val="left"/>
              <w:rPr>
                <w:rFonts w:hint="eastAsia" w:ascii="仿宋" w:hAnsi="仿宋" w:eastAsia="仿宋" w:cs="仿宋"/>
                <w:kern w:val="0"/>
                <w:sz w:val="24"/>
                <w:highlight w:val="none"/>
              </w:rPr>
            </w:pPr>
            <w:r>
              <w:rPr>
                <w:rFonts w:hint="eastAsia" w:ascii="仿宋" w:hAnsi="仿宋" w:eastAsia="仿宋" w:cs="仿宋"/>
                <w:b/>
                <w:bCs/>
                <w:snapToGrid w:val="0"/>
                <w:kern w:val="0"/>
                <w:sz w:val="24"/>
                <w:highlight w:val="none"/>
              </w:rPr>
              <w:t>（2分）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1.职业岗位（群）明确，有起点岗位和发展岗位分析，培养目标与高职教育层次相适应且符合专业定位；</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2.以岗位职业能力为标准、可持续发展需求为导向，有明确的知识、能力、素质与价值塑造培养目标。</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3.培养目标与培养规格遵循和贯彻党的教育方针，落实党和国家对人才培养的总体要求，注重立德树人，将课程思政理念融入专业人才培养方案中</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对接国家专业教学标准，结合区域经济社会发展需求、办学特色和专业实际，开发具有校本特色的专业教学标准，有效落实培养德、智、体、美、劳全面发展的高素质技术技能人才目标，瞄准“高精尖缺”技术技能人才培养，实现高定位的培养目标；</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2.培养目标适应学校服务行业的实际需求，能够满足技术技能人才培养需求，对区域支柱产业和社会发展急需人才的培养贡献度大，能服务区域经济转型、产业升级需求；</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 以岗位职业能力为标准，注重立德树人，将课程思政理念融入专业人才培养方案中，有明确的知识、能力、素质与价值塑造培养目标。</w:t>
            </w:r>
          </w:p>
        </w:tc>
        <w:tc>
          <w:tcPr>
            <w:tcW w:w="5514"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2.1.1人才培养方案及相关论证佐证材料；</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2.1.2专业人才需求调研材料及调研报告；</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2.1.3职业、岗位分析、专业定位与人才培养目标适应度分析材料；</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2.1.4人才培养方案评价标准及近三年的评价原始材料。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850" w:type="dxa"/>
            <w:vMerge w:val="continue"/>
            <w:vAlign w:val="center"/>
          </w:tcPr>
          <w:p>
            <w:pPr>
              <w:jc w:val="left"/>
              <w:rPr>
                <w:rFonts w:hint="eastAsia" w:ascii="仿宋" w:hAnsi="仿宋" w:eastAsia="仿宋" w:cs="仿宋"/>
                <w:kern w:val="0"/>
                <w:sz w:val="24"/>
                <w:highlight w:val="none"/>
              </w:rPr>
            </w:pPr>
          </w:p>
        </w:tc>
        <w:tc>
          <w:tcPr>
            <w:tcW w:w="993" w:type="dxa"/>
            <w:vAlign w:val="center"/>
          </w:tcPr>
          <w:p>
            <w:pPr>
              <w:widowControl/>
              <w:spacing w:line="240" w:lineRule="atLeast"/>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2.2人才培养模式（3分）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1.提炼并诠释专业人才培养模式，人才培养模式突出工学结合，具有实践性、开放性和职业性，并形成特色；</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2.人才培养模式符合培养目标要求，积极开展人才培养模式改革，探索实践校企（院）深度融合，形成有推广价值的经验。</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1.对照《职业教育专业目录》和相应专业教学标准，规范专业人才培养方案研制程序，建立人才培养方案的调研、论证、公开制度，提升人才培养方案科学性、适应性和可操作性；</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 深化“三教”改革，实施工学结合的人才培养模式改革，凝炼并实施的人才培养模式，具有工学结合、实践性、开放性和职业性特色；</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3.实行1+X(学历证书+职业技能等级证书) 双证书制度。</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4.统筹推进实践育人、活动育人和文化育人，统筹勤工俭学、实习实训、社会实践、志愿服务等环节开展劳动教育，开展“文明风采”“劳模进职校”等活动，弘扬精益求精的工匠精神</w:t>
            </w:r>
          </w:p>
        </w:tc>
        <w:tc>
          <w:tcPr>
            <w:tcW w:w="5514" w:type="dxa"/>
            <w:vAlign w:val="center"/>
          </w:tcPr>
          <w:p>
            <w:pPr>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2.2.1专业特色鲜明的经过提炼的“工学结合”人才培养模式；</w:t>
            </w:r>
          </w:p>
          <w:p>
            <w:pPr>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2.2.2专业“工学结合”人才培养模式的构建与实施材料；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2.2.3近三年来“工学结合”人才培养模式特色与创新总结及成果材料；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6" w:hRule="atLeast"/>
          <w:jc w:val="center"/>
        </w:trPr>
        <w:tc>
          <w:tcPr>
            <w:tcW w:w="850" w:type="dxa"/>
            <w:vMerge w:val="continue"/>
            <w:tcBorders>
              <w:bottom w:val="single" w:color="auto" w:sz="4" w:space="0"/>
            </w:tcBorders>
            <w:vAlign w:val="center"/>
          </w:tcPr>
          <w:p>
            <w:pPr>
              <w:jc w:val="left"/>
              <w:rPr>
                <w:rFonts w:hint="eastAsia" w:ascii="仿宋" w:hAnsi="仿宋" w:eastAsia="仿宋" w:cs="仿宋"/>
                <w:kern w:val="0"/>
                <w:sz w:val="24"/>
                <w:highlight w:val="none"/>
              </w:rPr>
            </w:pPr>
          </w:p>
        </w:tc>
        <w:tc>
          <w:tcPr>
            <w:tcW w:w="993" w:type="dxa"/>
            <w:vAlign w:val="center"/>
          </w:tcPr>
          <w:p>
            <w:pPr>
              <w:widowControl/>
              <w:spacing w:line="240" w:lineRule="atLeast"/>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2.3 课程体系（</w:t>
            </w:r>
            <w:r>
              <w:rPr>
                <w:rFonts w:hint="eastAsia" w:ascii="仿宋" w:hAnsi="仿宋" w:eastAsia="仿宋" w:cs="仿宋"/>
                <w:b/>
                <w:bCs/>
                <w:snapToGrid w:val="0"/>
                <w:kern w:val="0"/>
                <w:sz w:val="24"/>
                <w:highlight w:val="none"/>
              </w:rPr>
              <w:t>3</w:t>
            </w:r>
            <w:r>
              <w:rPr>
                <w:rFonts w:hint="eastAsia" w:ascii="仿宋" w:hAnsi="仿宋" w:eastAsia="仿宋" w:cs="仿宋"/>
                <w:b/>
                <w:bCs/>
                <w:kern w:val="0"/>
                <w:sz w:val="24"/>
                <w:highlight w:val="none"/>
              </w:rPr>
              <w:t>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1.课程设置与培养目标吻合，课程之间体现逻辑关系，遵循学生循序渐进的学习规律和职业能力形成规律；</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2.专业核心课程设置与岗位胜任力对应，融入职业资格标准的要求；</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3.有科学的实践教学体系设计，实践教学占教学总活动的比例≥50%</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4.按照教育部印发的教学大纲（课程标准），开齐、开足、开好公共基础课，按规定开齐、开足、开好思政课并规范选用教材。</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5.体现学生人文素质教育、美育教育、劳动教育、创新创业教育要求，重视学生综合素质培养。</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1.根据教育部专业教学标准规定、专业人才培养方案，科学设置、优化专业课程体系，探索专业群课程体系中的模块化课程，为学生提供更多的课程选择；</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2.按照“底部共享、中部分立、上部互选、顶部提升拓展”原则，构建专业课程体系； </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将职业资格证书、1+X证书等双证书培训与专业建设紧密结合，将证书培训内容有机融入专业人才培养方案，优化课程设置和教学内容，改进教学过程管理方式，学历证书教育和职业资格证书（1+X证书）培训有机衔接，推进“岗课赛证”综合育人，提升人才培养质量和学生就业创业能力；</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4.课程体系体现学生人文素质教育、美育教育、劳动教育、创新创业教育要求，重视学生综合素质培养，有效支撑岗位群所需的职业素养、专业知识和职业技能的培养，提升人才培养质量和学生就业创业能力。</w:t>
            </w:r>
          </w:p>
        </w:tc>
        <w:tc>
          <w:tcPr>
            <w:tcW w:w="5514" w:type="dxa"/>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2.3.1职业岗位知识、技能、态度的调研分析与课程设置依据分析； </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2.3.2课程体系构建对人才培养目标达成度分析论证材料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2.3.3行业标准、职业标准、技能证书、技术标准、企业文化、综合素质培养、价值塑造有机融入课程体系分析报告与相关佐证材料； </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2.3.4近三年专业课程体系、教学内容改革总结报告与相关佐证资料。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0"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仿宋" w:hAnsi="仿宋" w:eastAsia="仿宋" w:cs="仿宋"/>
                <w:b/>
                <w:sz w:val="24"/>
                <w:highlight w:val="none"/>
              </w:rPr>
            </w:pPr>
            <w:r>
              <w:rPr>
                <w:rFonts w:hint="eastAsia" w:ascii="仿宋" w:hAnsi="仿宋" w:eastAsia="仿宋" w:cs="仿宋"/>
                <w:b/>
                <w:sz w:val="24"/>
                <w:highlight w:val="none"/>
              </w:rPr>
              <w:t>3.课程建设</w:t>
            </w:r>
          </w:p>
          <w:p>
            <w:pPr>
              <w:spacing w:line="320" w:lineRule="exact"/>
              <w:jc w:val="center"/>
              <w:rPr>
                <w:rFonts w:hint="eastAsia" w:ascii="仿宋" w:hAnsi="仿宋" w:eastAsia="仿宋" w:cs="仿宋"/>
                <w:snapToGrid w:val="0"/>
                <w:kern w:val="0"/>
                <w:sz w:val="24"/>
                <w:highlight w:val="none"/>
              </w:rPr>
            </w:pPr>
            <w:r>
              <w:rPr>
                <w:rFonts w:hint="eastAsia" w:ascii="仿宋" w:hAnsi="仿宋" w:eastAsia="仿宋" w:cs="仿宋"/>
                <w:b/>
                <w:sz w:val="24"/>
                <w:highlight w:val="none"/>
              </w:rPr>
              <w:t>（12分）</w:t>
            </w:r>
          </w:p>
        </w:tc>
        <w:tc>
          <w:tcPr>
            <w:tcW w:w="993" w:type="dxa"/>
            <w:tcBorders>
              <w:left w:val="single" w:color="auto" w:sz="4" w:space="0"/>
            </w:tcBorders>
            <w:vAlign w:val="center"/>
          </w:tcPr>
          <w:p>
            <w:pPr>
              <w:widowControl/>
              <w:spacing w:line="240" w:lineRule="atLeast"/>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3.1课程标准</w:t>
            </w:r>
          </w:p>
          <w:p>
            <w:pPr>
              <w:widowControl/>
              <w:spacing w:line="240" w:lineRule="atLeast"/>
              <w:jc w:val="left"/>
              <w:rPr>
                <w:rFonts w:hint="eastAsia" w:ascii="仿宋" w:hAnsi="仿宋" w:eastAsia="仿宋" w:cs="仿宋"/>
                <w:b/>
                <w:kern w:val="0"/>
                <w:sz w:val="24"/>
                <w:highlight w:val="none"/>
              </w:rPr>
            </w:pPr>
            <w:r>
              <w:rPr>
                <w:rFonts w:hint="eastAsia" w:ascii="仿宋" w:hAnsi="仿宋" w:eastAsia="仿宋" w:cs="仿宋"/>
                <w:b/>
                <w:bCs/>
                <w:snapToGrid w:val="0"/>
                <w:kern w:val="0"/>
                <w:sz w:val="24"/>
                <w:highlight w:val="none"/>
              </w:rPr>
              <w:t>（3分）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1.有课程标准，符合规范要求；定期修订和完善，与职业岗位标准对接；</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2.课程目标、课程内容、教学设计及评价等体现现代职业教育理念。</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1.课程标准落实立德树人根本任务，将社会主义核心价值观教育贯穿专业人才培养全过程，价值塑造、知识传授、能力培养三者融为一体，实现岗位职业能力和职业精神培养高度融合；</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2.加强课程思政建设，深入挖掘专业课程的思政元素，有机融入课程教学，打造一批课程思政示范课堂和彰显职业教育类型特点的思政教育案例。</w:t>
            </w:r>
          </w:p>
        </w:tc>
        <w:tc>
          <w:tcPr>
            <w:tcW w:w="5514" w:type="dxa"/>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3.1.1专业各课程和教学环节的课程标准；</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3.1.2制定课程标准的调研和论证材料；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3.1.3课程融入职业标准、岗位标准、技能标准、企业文化、课程思政等相关佐证与实施材料； </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w:t>
            </w:r>
            <w:r>
              <w:rPr>
                <w:rFonts w:hint="eastAsia" w:ascii="仿宋" w:hAnsi="仿宋" w:eastAsia="仿宋" w:cs="仿宋"/>
                <w:snapToGrid w:val="0"/>
                <w:kern w:val="0"/>
                <w:sz w:val="24"/>
                <w:highlight w:val="none"/>
                <w:lang w:val="en-US" w:eastAsia="zh-CN"/>
              </w:rPr>
              <w:t>1</w:t>
            </w:r>
            <w:r>
              <w:rPr>
                <w:rFonts w:hint="eastAsia" w:ascii="仿宋" w:hAnsi="仿宋" w:eastAsia="仿宋" w:cs="仿宋"/>
                <w:snapToGrid w:val="0"/>
                <w:kern w:val="0"/>
                <w:sz w:val="24"/>
                <w:highlight w:val="none"/>
              </w:rPr>
              <w:t>.4与行业企业合作开发课程一览表。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w:t>
            </w:r>
            <w:r>
              <w:rPr>
                <w:rFonts w:hint="eastAsia" w:ascii="仿宋" w:hAnsi="仿宋" w:eastAsia="仿宋" w:cs="仿宋"/>
                <w:snapToGrid w:val="0"/>
                <w:kern w:val="0"/>
                <w:sz w:val="24"/>
                <w:highlight w:val="none"/>
                <w:lang w:val="en-US" w:eastAsia="zh-CN"/>
              </w:rPr>
              <w:t>1</w:t>
            </w:r>
            <w:r>
              <w:rPr>
                <w:rFonts w:hint="eastAsia" w:ascii="仿宋" w:hAnsi="仿宋" w:eastAsia="仿宋" w:cs="仿宋"/>
                <w:snapToGrid w:val="0"/>
                <w:kern w:val="0"/>
                <w:sz w:val="24"/>
                <w:highlight w:val="none"/>
              </w:rPr>
              <w:t>.5专业各实践教学标准、指导书（实训指南）、学生实 验、实训、实习报告；</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w:t>
            </w:r>
            <w:r>
              <w:rPr>
                <w:rFonts w:hint="eastAsia" w:ascii="仿宋" w:hAnsi="仿宋" w:eastAsia="仿宋" w:cs="仿宋"/>
                <w:snapToGrid w:val="0"/>
                <w:kern w:val="0"/>
                <w:sz w:val="24"/>
                <w:highlight w:val="none"/>
                <w:lang w:val="en-US" w:eastAsia="zh-CN"/>
              </w:rPr>
              <w:t>1</w:t>
            </w:r>
            <w:r>
              <w:rPr>
                <w:rFonts w:hint="eastAsia" w:ascii="仿宋" w:hAnsi="仿宋" w:eastAsia="仿宋" w:cs="仿宋"/>
                <w:snapToGrid w:val="0"/>
                <w:kern w:val="0"/>
                <w:sz w:val="24"/>
                <w:highlight w:val="none"/>
              </w:rPr>
              <w:t>.6各门课程学生作业；</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3.1.7专业所有课程的教学设计方案。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7" w:hRule="atLeast"/>
          <w:jc w:val="center"/>
        </w:trPr>
        <w:tc>
          <w:tcPr>
            <w:tcW w:w="850" w:type="dxa"/>
            <w:vMerge w:val="continue"/>
            <w:tcBorders>
              <w:left w:val="single" w:color="auto" w:sz="4" w:space="0"/>
              <w:right w:val="single" w:color="auto" w:sz="4" w:space="0"/>
            </w:tcBorders>
            <w:vAlign w:val="center"/>
          </w:tcPr>
          <w:p>
            <w:pPr>
              <w:jc w:val="left"/>
              <w:rPr>
                <w:rFonts w:hint="eastAsia" w:ascii="仿宋" w:hAnsi="仿宋" w:eastAsia="仿宋" w:cs="仿宋"/>
                <w:snapToGrid w:val="0"/>
                <w:kern w:val="0"/>
                <w:sz w:val="24"/>
                <w:highlight w:val="none"/>
              </w:rPr>
            </w:pPr>
          </w:p>
        </w:tc>
        <w:tc>
          <w:tcPr>
            <w:tcW w:w="993" w:type="dxa"/>
            <w:tcBorders>
              <w:left w:val="single" w:color="auto" w:sz="4" w:space="0"/>
            </w:tcBorders>
            <w:vAlign w:val="center"/>
          </w:tcPr>
          <w:p>
            <w:pPr>
              <w:widowControl/>
              <w:spacing w:line="240" w:lineRule="atLeast"/>
              <w:jc w:val="left"/>
              <w:rPr>
                <w:rFonts w:hint="eastAsia" w:ascii="仿宋" w:hAnsi="仿宋" w:eastAsia="仿宋" w:cs="仿宋"/>
                <w:b/>
                <w:bCs/>
                <w:kern w:val="0"/>
                <w:sz w:val="24"/>
                <w:highlight w:val="none"/>
              </w:rPr>
            </w:pPr>
          </w:p>
          <w:p>
            <w:pPr>
              <w:widowControl/>
              <w:spacing w:line="240" w:lineRule="atLeast"/>
              <w:jc w:val="left"/>
              <w:rPr>
                <w:rFonts w:hint="eastAsia" w:ascii="仿宋" w:hAnsi="仿宋" w:eastAsia="仿宋" w:cs="仿宋"/>
                <w:b/>
                <w:bCs/>
                <w:kern w:val="0"/>
                <w:sz w:val="24"/>
                <w:highlight w:val="none"/>
              </w:rPr>
            </w:pPr>
          </w:p>
          <w:p>
            <w:pPr>
              <w:widowControl/>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kern w:val="0"/>
                <w:sz w:val="24"/>
                <w:highlight w:val="none"/>
              </w:rPr>
              <w:t>3.2课程</w:t>
            </w:r>
            <w:r>
              <w:rPr>
                <w:rFonts w:hint="eastAsia" w:ascii="仿宋" w:hAnsi="仿宋" w:eastAsia="仿宋" w:cs="仿宋"/>
                <w:b/>
                <w:bCs/>
                <w:snapToGrid w:val="0"/>
                <w:kern w:val="0"/>
                <w:sz w:val="24"/>
                <w:highlight w:val="none"/>
              </w:rPr>
              <w:t>实施</w:t>
            </w:r>
          </w:p>
          <w:p>
            <w:pPr>
              <w:widowControl/>
              <w:spacing w:line="240" w:lineRule="atLeast"/>
              <w:jc w:val="left"/>
              <w:rPr>
                <w:rFonts w:hint="eastAsia" w:ascii="仿宋" w:hAnsi="仿宋" w:eastAsia="仿宋" w:cs="仿宋"/>
                <w:snapToGrid w:val="0"/>
                <w:kern w:val="0"/>
                <w:sz w:val="24"/>
                <w:highlight w:val="none"/>
              </w:rPr>
            </w:pPr>
            <w:r>
              <w:rPr>
                <w:rFonts w:hint="eastAsia" w:ascii="仿宋" w:hAnsi="仿宋" w:eastAsia="仿宋" w:cs="仿宋"/>
                <w:b/>
                <w:bCs/>
                <w:snapToGrid w:val="0"/>
                <w:kern w:val="0"/>
                <w:sz w:val="24"/>
                <w:highlight w:val="none"/>
              </w:rPr>
              <w:t>（6分）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1.按照课程标准组织实施课程教学；</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2.积极推进教学模式、教学手段、教学方法的改革，采用案例教学、项目教学、探究式教学等教学方法，体现“工学结合、理实一体”的理念；</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 推进以学习者为中心的课程教学评价改革，提高课程教学质量；</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4.充分利用现代信息技术等多种教学手段。</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坚持教、学、做合一，创新教学方法，实施项目教学、案例教学、情景教学、工作过程导向教学以及理实一体教学等新型教学模式，探索、推进远程协作、实时互动、翻转课堂、移动学习等信息化教学模式，推动职业教育“课堂革命”；</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2.适应专业教学改革需要，鼓励教师团队对接职业标准和工作过程，探索分工协作的模块化教学组织方式；</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建立健全以学习者为中心的课程教学评价体系，依据专业人才培养目标链，将培养目标、核心能力目标、课程目标、教学单元目标的达成度作为质量持续改进的主要依据，通过监测、评价、反馈等环节推动专业教学持续改进；</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4.依托网络学习平台和线上教学资源，推行混合式教学模式，形成线上线下相结合的教与学新格局，促进网络条件下自主、泛在、个性化学习；</w:t>
            </w:r>
          </w:p>
          <w:p>
            <w:pPr>
              <w:spacing w:line="240" w:lineRule="atLeast"/>
              <w:rPr>
                <w:rFonts w:hint="eastAsia" w:ascii="仿宋" w:hAnsi="仿宋" w:eastAsia="仿宋" w:cs="仿宋"/>
                <w:szCs w:val="21"/>
                <w:highlight w:val="none"/>
                <w:lang w:eastAsia="zh-CN"/>
              </w:rPr>
            </w:pPr>
            <w:r>
              <w:rPr>
                <w:rFonts w:hint="eastAsia" w:ascii="仿宋" w:hAnsi="仿宋" w:eastAsia="仿宋" w:cs="仿宋"/>
                <w:snapToGrid w:val="0"/>
                <w:kern w:val="0"/>
                <w:sz w:val="24"/>
                <w:highlight w:val="none"/>
              </w:rPr>
              <w:t>5.充分利用信息化教学资源，推进信息技术与专业教学融合创新，以信息技术优化专业教学设计和教学过程、创新教学方法、支撑课堂变革，提升专业课程教学智能化水平</w:t>
            </w:r>
            <w:r>
              <w:rPr>
                <w:rFonts w:hint="eastAsia" w:ascii="仿宋" w:hAnsi="仿宋" w:eastAsia="仿宋" w:cs="仿宋"/>
                <w:snapToGrid w:val="0"/>
                <w:kern w:val="0"/>
                <w:sz w:val="24"/>
                <w:highlight w:val="none"/>
                <w:lang w:eastAsia="zh-CN"/>
              </w:rPr>
              <w:t>。</w:t>
            </w:r>
          </w:p>
        </w:tc>
        <w:tc>
          <w:tcPr>
            <w:tcW w:w="5514" w:type="dxa"/>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3.2.1专业所有课程的课程标准和教学设计方案与教师手册；</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3.2.2教学内容、课程体系、教学模式、教学手段、方法、课程学业评价模式改革的总结性材料、典型案例与相关资料；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w:t>
            </w:r>
            <w:r>
              <w:rPr>
                <w:rFonts w:hint="eastAsia" w:ascii="仿宋" w:hAnsi="仿宋" w:eastAsia="仿宋" w:cs="仿宋"/>
                <w:snapToGrid w:val="0"/>
                <w:kern w:val="0"/>
                <w:sz w:val="24"/>
                <w:highlight w:val="none"/>
                <w:lang w:val="en-US" w:eastAsia="zh-CN"/>
              </w:rPr>
              <w:t>2</w:t>
            </w:r>
            <w:r>
              <w:rPr>
                <w:rFonts w:hint="eastAsia" w:ascii="仿宋" w:hAnsi="仿宋" w:eastAsia="仿宋" w:cs="仿宋"/>
                <w:snapToGrid w:val="0"/>
                <w:kern w:val="0"/>
                <w:sz w:val="24"/>
                <w:highlight w:val="none"/>
              </w:rPr>
              <w:t>.3支持自主性学习与探索式学习互动的网络辅助教学平台建设及成果；</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3.2.4学生各门理论与实践课程的考试成绩统计分析表；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3.2.5学生期末考试试卷；</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3.2.6专业应用现代信息技术组织教学的工作总结及成果材料；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3.2.7近三年分班级教学进程表； </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3.2.8近三年教师授课计划进度表； </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color w:val="000000"/>
                <w:sz w:val="24"/>
                <w:highlight w:val="none"/>
              </w:rPr>
              <w:t>3.2.9</w:t>
            </w:r>
            <w:r>
              <w:rPr>
                <w:rFonts w:hint="eastAsia" w:ascii="仿宋" w:hAnsi="仿宋" w:eastAsia="仿宋" w:cs="仿宋"/>
                <w:snapToGrid w:val="0"/>
                <w:kern w:val="0"/>
                <w:sz w:val="24"/>
                <w:highlight w:val="none"/>
              </w:rPr>
              <w:t>现场听课、说课。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850" w:type="dxa"/>
            <w:vMerge w:val="continue"/>
            <w:tcBorders>
              <w:left w:val="single" w:color="auto" w:sz="4" w:space="0"/>
              <w:bottom w:val="single" w:color="auto" w:sz="4" w:space="0"/>
              <w:right w:val="single" w:color="auto" w:sz="4" w:space="0"/>
            </w:tcBorders>
            <w:vAlign w:val="center"/>
          </w:tcPr>
          <w:p>
            <w:pPr>
              <w:jc w:val="left"/>
              <w:rPr>
                <w:rFonts w:hint="eastAsia" w:ascii="仿宋" w:hAnsi="仿宋" w:eastAsia="仿宋" w:cs="仿宋"/>
                <w:snapToGrid w:val="0"/>
                <w:kern w:val="0"/>
                <w:sz w:val="24"/>
                <w:highlight w:val="none"/>
              </w:rPr>
            </w:pPr>
          </w:p>
        </w:tc>
        <w:tc>
          <w:tcPr>
            <w:tcW w:w="993" w:type="dxa"/>
            <w:tcBorders>
              <w:left w:val="single" w:color="auto" w:sz="4" w:space="0"/>
            </w:tcBorders>
            <w:vAlign w:val="center"/>
          </w:tcPr>
          <w:p>
            <w:pPr>
              <w:spacing w:line="240" w:lineRule="atLeast"/>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3.3课程资源</w:t>
            </w:r>
          </w:p>
          <w:p>
            <w:pPr>
              <w:spacing w:line="240" w:lineRule="atLeast"/>
              <w:jc w:val="left"/>
              <w:rPr>
                <w:rFonts w:hint="eastAsia" w:ascii="仿宋" w:hAnsi="仿宋" w:eastAsia="仿宋" w:cs="仿宋"/>
                <w:snapToGrid w:val="0"/>
                <w:kern w:val="0"/>
                <w:sz w:val="24"/>
                <w:highlight w:val="none"/>
              </w:rPr>
            </w:pPr>
            <w:r>
              <w:rPr>
                <w:rFonts w:hint="eastAsia" w:ascii="仿宋" w:hAnsi="仿宋" w:eastAsia="仿宋" w:cs="仿宋"/>
                <w:b/>
                <w:bCs/>
                <w:snapToGrid w:val="0"/>
                <w:kern w:val="0"/>
                <w:sz w:val="24"/>
                <w:highlight w:val="none"/>
              </w:rPr>
              <w:t>（3分）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 严格执行《福建省职业院校教材管理实施细则》，规范教材选用、审批程序，优先选用国家、行业规划教材；根据课程建设需要，鼓励编写校企合作教学改革特色教材和校本教材；</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2.建有数字化专业学习资源，形式多样，内容丰富，使用便捷，更新及时，利用率高；</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3.教学资源库建设取得成效。</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1.严格执行《福建省职业院校教材管理实施细则》，规范和加强教材选用与使用管理，优先选用国家、行业规划教材，选好用好专业教材；</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2.提高教材建设水平，根据专业人才培养和教学实际需要，组织编写反映自身特色的校本专业教材，推进校企“双元”合作编写专业教材，倡导使用新型活页式、工作手册式教材和融媒体教材；</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 加强专业教学资源库建设，针对专业教学的需要，校企共同开发网络课程、融媒体教材、虚拟仿真实训软件等信息化专业教学资源，争创国家级、省级职业教育专业（技能）课精品在线开放课程，形成信息化教学资源共建共享机制。</w:t>
            </w:r>
          </w:p>
        </w:tc>
        <w:tc>
          <w:tcPr>
            <w:tcW w:w="5514" w:type="dxa"/>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3.3.1专业选用教材一览表，教材选用、审批原始材料；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3.3.2主编、参编专业课程教材一览表；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3.3.3校企合作开发课程资料及样本；</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3.3.4信息化教学资源建设、使用情况总结及成果材料，网络教学资源网站、网络资源统计表；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3.3.5参与省、国家在线精品课程、教学资源库建设总结及成果材料；</w:t>
            </w:r>
          </w:p>
          <w:p>
            <w:pPr>
              <w:snapToGrid w:val="0"/>
              <w:spacing w:line="280" w:lineRule="exact"/>
              <w:jc w:val="left"/>
              <w:rPr>
                <w:rFonts w:hint="eastAsia" w:ascii="仿宋" w:hAnsi="仿宋" w:eastAsia="仿宋" w:cs="仿宋"/>
                <w:snapToGrid w:val="0"/>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850" w:type="dxa"/>
            <w:vMerge w:val="restart"/>
            <w:tcBorders>
              <w:top w:val="single" w:color="auto" w:sz="4" w:space="0"/>
            </w:tcBorders>
            <w:vAlign w:val="center"/>
          </w:tcPr>
          <w:p>
            <w:pPr>
              <w:spacing w:line="320" w:lineRule="exact"/>
              <w:jc w:val="center"/>
              <w:rPr>
                <w:rFonts w:hint="eastAsia" w:ascii="仿宋" w:hAnsi="仿宋" w:eastAsia="仿宋" w:cs="仿宋"/>
                <w:b/>
                <w:sz w:val="24"/>
                <w:highlight w:val="none"/>
              </w:rPr>
            </w:pPr>
            <w:r>
              <w:rPr>
                <w:rFonts w:hint="eastAsia" w:ascii="仿宋" w:hAnsi="仿宋" w:eastAsia="仿宋" w:cs="仿宋"/>
                <w:b/>
                <w:sz w:val="24"/>
                <w:highlight w:val="none"/>
              </w:rPr>
              <w:t>4.实践教学</w:t>
            </w:r>
          </w:p>
          <w:p>
            <w:pPr>
              <w:spacing w:line="320" w:lineRule="exact"/>
              <w:jc w:val="center"/>
              <w:rPr>
                <w:rFonts w:hint="eastAsia" w:ascii="仿宋" w:hAnsi="仿宋" w:eastAsia="仿宋" w:cs="仿宋"/>
                <w:snapToGrid w:val="0"/>
                <w:kern w:val="0"/>
                <w:sz w:val="24"/>
                <w:highlight w:val="none"/>
              </w:rPr>
            </w:pPr>
            <w:r>
              <w:rPr>
                <w:rFonts w:hint="eastAsia" w:ascii="仿宋" w:hAnsi="仿宋" w:eastAsia="仿宋" w:cs="仿宋"/>
                <w:b/>
                <w:sz w:val="24"/>
                <w:highlight w:val="none"/>
              </w:rPr>
              <w:t>（10分）</w:t>
            </w:r>
          </w:p>
        </w:tc>
        <w:tc>
          <w:tcPr>
            <w:tcW w:w="993" w:type="dxa"/>
            <w:vAlign w:val="center"/>
          </w:tcPr>
          <w:p>
            <w:pPr>
              <w:spacing w:line="240" w:lineRule="atLeast"/>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4.1校内实践教学条件（3分）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1.校内实训条件符合教育部办学条件合格标准，能保证教学计划执行；</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2.有校内实训基地建设规划和方案，并按计划实施；</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3.校内实践教学基地设施先进，现代技术含量高，建立了具有真实职业氛围的校内实训基地，能满足学生职业技能和综合实践能力训练需要。</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1. 校内实训基地工位充足，实训装备达到教育部发布的专业实训教学条件建设标准，满足专业实践教学需要； </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校内实践教学基地设施先进，技术含量高，具有真实(仿真)的职业氛围，依据专业教学实际需要推进数字化实训室和虚拟工厂、虚拟车间等多种形式的虚拟仿真实训室，提升数字化实践教学装备配置水平，满足学生职业技能和综合实践能力训练需要；</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3.与企业共建校内生产性实训基地建设，推进实训生产化和产、学、研、训、赛、考等功能一体化。</w:t>
            </w:r>
          </w:p>
        </w:tc>
        <w:tc>
          <w:tcPr>
            <w:tcW w:w="5514" w:type="dxa"/>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4.1.1专业校内实验、实训室及实训设备资产一览表(标明实训项目和利用率)。</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4.1.2校内实训基地建设规划、立项、论证、建设资料。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4.1.3校企共建校内外实训基地一览表；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4.1.4企业捐助实验（训）室设备情况一览表；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4.1.5实地考察实践场所软环境建设,实训室的职业氛围、功能、实践项目、安全操作规程、工艺操作流程、技术标准、岗位要求等上墙情况，实训文化育人的建设情况； </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4.1.6实训基地发挥教学科研、技能鉴定、社会培训、技术服务等佐证材料；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4.1.7校内、外实训基地教学、安全、管理等方面的制度文件及运行资料。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850" w:type="dxa"/>
            <w:vMerge w:val="continue"/>
            <w:tcBorders>
              <w:top w:val="single" w:color="auto" w:sz="4" w:space="0"/>
            </w:tcBorders>
            <w:vAlign w:val="center"/>
          </w:tcPr>
          <w:p>
            <w:pPr>
              <w:jc w:val="left"/>
              <w:rPr>
                <w:rFonts w:hint="eastAsia" w:ascii="仿宋" w:hAnsi="仿宋" w:eastAsia="仿宋" w:cs="仿宋"/>
                <w:b/>
                <w:szCs w:val="21"/>
                <w:highlight w:val="none"/>
              </w:rPr>
            </w:pPr>
          </w:p>
        </w:tc>
        <w:tc>
          <w:tcPr>
            <w:tcW w:w="993" w:type="dxa"/>
            <w:vAlign w:val="center"/>
          </w:tcPr>
          <w:p>
            <w:pPr>
              <w:spacing w:line="240" w:lineRule="atLeast"/>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4.2 校外实践教学条件</w:t>
            </w:r>
            <w:r>
              <w:rPr>
                <w:rFonts w:hint="eastAsia" w:ascii="仿宋" w:hAnsi="仿宋" w:eastAsia="仿宋" w:cs="仿宋"/>
                <w:b/>
                <w:bCs/>
                <w:snapToGrid w:val="0"/>
                <w:kern w:val="0"/>
                <w:sz w:val="24"/>
                <w:highlight w:val="none"/>
              </w:rPr>
              <w:t>（3（分）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1.校外实习实训基地长期稳定，有一定数量的、行业内有影响的实习企业（医院），能满足学生专业认识或岗位实习的需要；</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2校外实习实训基地有健全的教学管理制度和教学质量监控实施制度，稳定的教学管理队伍（管理人员和指导教师）。</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1.校外实习实训基地稳定，所在企业、单位在行业中有较强影响力，硬件水平高，实习管理规范，企业指导教师数量多、层次高，校外实训效果好；</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2.统筹多种资源，与企事业单位、工业（产业）园区等合作共建融校外实践教学、学生就业、教师实践、合作技术研发、合作开展社会服务等多位一体合作共赢、校企共建、共管的校外实训基地。</w:t>
            </w:r>
          </w:p>
        </w:tc>
        <w:tc>
          <w:tcPr>
            <w:tcW w:w="5514" w:type="dxa"/>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4.2.1专业校外实训基地一览表(标明企业规模、企业性质、校企合作开展时间、具体合作项目)和校企协议；</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4.2.2近三年各校外实训基地教学、师资下企业实践、学生就业、技术服务、校企合作共建、共管等情况一览表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4.2.3校外实训基地管理办教学管理、教学质量监控、安全管理等方面的制度文件及运行资料； </w:t>
            </w:r>
          </w:p>
          <w:p>
            <w:pPr>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4.2.4各校外实训基地管理人员、企业指导教师情况一览表；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850" w:type="dxa"/>
            <w:vMerge w:val="continue"/>
            <w:vAlign w:val="center"/>
          </w:tcPr>
          <w:p>
            <w:pPr>
              <w:jc w:val="left"/>
              <w:rPr>
                <w:rFonts w:hint="eastAsia" w:ascii="仿宋" w:hAnsi="仿宋" w:eastAsia="仿宋" w:cs="仿宋"/>
                <w:snapToGrid w:val="0"/>
                <w:kern w:val="0"/>
                <w:sz w:val="24"/>
                <w:highlight w:val="none"/>
              </w:rPr>
            </w:pPr>
          </w:p>
        </w:tc>
        <w:tc>
          <w:tcPr>
            <w:tcW w:w="993" w:type="dxa"/>
            <w:vAlign w:val="center"/>
          </w:tcPr>
          <w:p>
            <w:pPr>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4.3实践教学内容与管理(4分)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1.有完备的实践教学管理制度和实践基地管理制度（含安全管理），课程实训、专项实习、岗位实习教学标准、实训指导书等教学文件齐全，管理队伍健全，管理规范，运行良好；</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2.实训开出率达到≥90%，实训室</w:t>
            </w:r>
            <w:r>
              <w:rPr>
                <w:rFonts w:hint="eastAsia" w:ascii="仿宋" w:hAnsi="仿宋" w:eastAsia="仿宋" w:cs="仿宋"/>
                <w:snapToGrid w:val="0"/>
                <w:kern w:val="0"/>
                <w:sz w:val="24"/>
                <w:highlight w:val="none"/>
                <w:lang w:val="en-US" w:eastAsia="zh-CN"/>
              </w:rPr>
              <w:t>实施</w:t>
            </w:r>
            <w:r>
              <w:rPr>
                <w:rFonts w:hint="eastAsia" w:ascii="仿宋" w:hAnsi="仿宋" w:eastAsia="仿宋" w:cs="仿宋"/>
                <w:snapToGrid w:val="0"/>
                <w:kern w:val="0"/>
                <w:sz w:val="24"/>
                <w:highlight w:val="none"/>
              </w:rPr>
              <w:t>开放</w:t>
            </w:r>
            <w:r>
              <w:rPr>
                <w:rFonts w:hint="eastAsia" w:ascii="仿宋" w:hAnsi="仿宋" w:eastAsia="仿宋" w:cs="仿宋"/>
                <w:snapToGrid w:val="0"/>
                <w:kern w:val="0"/>
                <w:sz w:val="24"/>
                <w:highlight w:val="none"/>
                <w:lang w:val="en-US" w:eastAsia="zh-CN"/>
              </w:rPr>
              <w:t>管理</w:t>
            </w:r>
            <w:r>
              <w:rPr>
                <w:rFonts w:hint="eastAsia" w:ascii="仿宋" w:hAnsi="仿宋" w:eastAsia="仿宋" w:cs="仿宋"/>
                <w:snapToGrid w:val="0"/>
                <w:kern w:val="0"/>
                <w:sz w:val="24"/>
                <w:highlight w:val="none"/>
              </w:rPr>
              <w:t>，</w:t>
            </w:r>
            <w:r>
              <w:rPr>
                <w:rFonts w:hint="eastAsia" w:ascii="仿宋" w:hAnsi="仿宋" w:eastAsia="仿宋" w:cs="仿宋"/>
                <w:snapToGrid w:val="0"/>
                <w:kern w:val="0"/>
                <w:sz w:val="24"/>
                <w:highlight w:val="none"/>
                <w:lang w:val="en-US" w:eastAsia="zh-CN"/>
              </w:rPr>
              <w:t>课外对学生开放，</w:t>
            </w:r>
            <w:r>
              <w:rPr>
                <w:rFonts w:hint="eastAsia" w:ascii="仿宋" w:hAnsi="仿宋" w:eastAsia="仿宋" w:cs="仿宋"/>
                <w:snapToGrid w:val="0"/>
                <w:kern w:val="0"/>
                <w:sz w:val="24"/>
                <w:highlight w:val="none"/>
              </w:rPr>
              <w:t>实验实训设备使用率高；</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3.实践教学评价多样，包括教师评价和学生互评相结合、过程评价和结果评价相结合；</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4.规范执行实习前培训、实习后综合考核制度，学生岗位实习责任保险、信息通报等安全制度落实到位；</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5.校外实践教学校内外管理人员共管机制运行良好，学生实习过程有效监控； </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6.按实习大纲要求，安排实习轮转计划，严格执行轮岗（出科）考核制度。</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1.实训基地管理制度完善，课程实训、专项实习、岗位实习教学标准、实训指导书等教学文件齐全，编写质量高，实训教学管理规范，运行良好，积极探索实施实训室对学生开放管理；</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2.实践教学设计合理、符合专业培养目标要求，专业实践教学项目体现真实工作任务、真实案例，凸显学生职业精神与综合素质培养，实训项目（任务）开出率达到95%以上；</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建立以职业能力培养为主线、课内外互补、校内外结合的专业实践教学体系，推进实训教学评价改革，提高实训教学质量。具有符合要求的稳定实践教学指导教师队伍，精心安排实践教学环节，学生毕业设计、毕业论文选题来源于工作一线；</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建立健全学生实习管理制度，认真制定实习计划，统筹认识实习、岗位实习等形式，保证学生实习岗位与其所学专业面向的岗位群基本一致，配齐配强实习指导教师和管理人员队伍，建立学生实习全过程跟踪监管机制，确保实习质量和实习安全，维护学生合法权益。</w:t>
            </w:r>
          </w:p>
        </w:tc>
        <w:tc>
          <w:tcPr>
            <w:tcW w:w="5514" w:type="dxa"/>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4.3.1专业依据职业岗位分析以职业能力培养为导向，实践教学体系的设计论证材料；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4.3.2行业、企业专家参与的实践教学体系构建讨论会材料；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4.3.3专业课程实训（验）项目、综合实践训练项目一览表（含项目名称、训练任务、内容、方法、学时数、开设学期、训练效果等）近三年专业的各课程实训（验）项目、综合实践训练项目开出率统计一览表；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4.3.4课程实训（验）、专项实习、岗位实习、毕业设计（论文）教学标准及指导书等教学文件；</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4.3.5近三年毕业设计、毕业论文选题及来源一览表；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4.3.6近三年各专业各实践环节的实验报告、实习报告、岗位实习、课程设计、毕业设计等学生成果材料；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4.3.7实践教学（含岗位实习）管理制度和校内、外实践教学基地（实验室）管理制度（含安全管理预案）及运行情况材料；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4.3.8校企合作协议等相关文件及材料；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4.3.9学生各项实习计划，岗位实习（含在籍学生名单、岗位实习学生名单、实习单位、实习岗位、实习安排形式、专业指导教师、企业指导人员）安排表、学生岗位实习覆盖率，岗位实习考勤、评价、企业鉴定及相关方面的原始材料； </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4.3.10 实践教学（含岗位实习）质量评价标准（指导教师、学生）及近三年的评价原始材料；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4.3.11近三年岗位质量督控督导督与巡查指导记录等相关教师指导材料；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4.3.12近三年岗位实习总结与质量分析报告。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850" w:type="dxa"/>
            <w:vMerge w:val="restart"/>
            <w:vAlign w:val="center"/>
          </w:tcPr>
          <w:p>
            <w:pPr>
              <w:spacing w:line="320" w:lineRule="exact"/>
              <w:jc w:val="center"/>
              <w:rPr>
                <w:rFonts w:hint="eastAsia" w:ascii="仿宋" w:hAnsi="仿宋" w:eastAsia="仿宋" w:cs="仿宋"/>
                <w:b/>
                <w:sz w:val="24"/>
                <w:highlight w:val="none"/>
              </w:rPr>
            </w:pPr>
            <w:r>
              <w:rPr>
                <w:rFonts w:hint="eastAsia" w:ascii="仿宋" w:hAnsi="仿宋" w:eastAsia="仿宋" w:cs="仿宋"/>
                <w:b/>
                <w:sz w:val="24"/>
                <w:highlight w:val="none"/>
              </w:rPr>
              <w:t>5.专业师资</w:t>
            </w:r>
          </w:p>
          <w:p>
            <w:pPr>
              <w:spacing w:line="320" w:lineRule="exact"/>
              <w:jc w:val="center"/>
              <w:rPr>
                <w:rFonts w:hint="eastAsia" w:ascii="仿宋" w:hAnsi="仿宋" w:eastAsia="仿宋" w:cs="仿宋"/>
                <w:b/>
                <w:sz w:val="24"/>
                <w:highlight w:val="none"/>
              </w:rPr>
            </w:pPr>
            <w:r>
              <w:rPr>
                <w:rFonts w:hint="eastAsia" w:ascii="仿宋" w:hAnsi="仿宋" w:eastAsia="仿宋" w:cs="仿宋"/>
                <w:b/>
                <w:sz w:val="24"/>
                <w:highlight w:val="none"/>
              </w:rPr>
              <w:t>（19分）</w:t>
            </w:r>
          </w:p>
        </w:tc>
        <w:tc>
          <w:tcPr>
            <w:tcW w:w="993" w:type="dxa"/>
            <w:vAlign w:val="center"/>
          </w:tcPr>
          <w:p>
            <w:pPr>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5.1 专业带头人（2分）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1.专业带头人有较高的学术水平和专业实践能力；</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2.在专业领域和行业内有一定的影响力；</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3.在专业建设中充分发挥带头作用。</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加强专业带头人选聘和培养，设立名师工作室、技能大师工作室等平台，聘请专业水平高、实践经历丰富、具有一定行业影响的来自企业的兼职专业带头人，培育师德高尚、专业精湛、技艺高超、组织协调能力强的专业带头人；</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2.专业带头人具有相关专业背景和丰富企业实践经历，在行业有一定影响，能够准确把握行业动态和发展趋势，专业水平高，科研及管理能力强;</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3.专业带头人具有硕士及以上学历（学位）、高级专业技术职称，获得省级及以上职业教育教学成果奖或在省级及以上教学能力比赛获奖；获省级专业带头人培养对象。</w:t>
            </w:r>
          </w:p>
        </w:tc>
        <w:tc>
          <w:tcPr>
            <w:tcW w:w="5514" w:type="dxa"/>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5.1.1专业带头人基本情况统计表；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5.1.2专业带头人培养方案、总结；</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5.1.3专业带头人考核表。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5.1.4专业带头人课程开发、教学文件、教材与实训指导书等编写、科研与</w:t>
            </w:r>
            <w:bookmarkStart w:id="0" w:name="_GoBack"/>
            <w:bookmarkEnd w:id="0"/>
            <w:r>
              <w:rPr>
                <w:rFonts w:hint="eastAsia" w:ascii="仿宋" w:hAnsi="仿宋" w:eastAsia="仿宋" w:cs="仿宋"/>
                <w:snapToGrid w:val="0"/>
                <w:kern w:val="0"/>
                <w:sz w:val="24"/>
                <w:highlight w:val="none"/>
              </w:rPr>
              <w:t xml:space="preserve">技术服务统计表； </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5.1.5聘请的专业带头人在行业企业中的地位、成果材料及聘书； </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5.1.6设立名师工作室、技能大师工作室情况汇总表，在教科研、专业建设、教学团队建设成效汇总表及佐证材料。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850" w:type="dxa"/>
            <w:vMerge w:val="continue"/>
            <w:vAlign w:val="center"/>
          </w:tcPr>
          <w:p>
            <w:pPr>
              <w:jc w:val="left"/>
              <w:rPr>
                <w:rFonts w:hint="eastAsia" w:ascii="仿宋" w:hAnsi="仿宋" w:eastAsia="仿宋" w:cs="仿宋"/>
                <w:snapToGrid w:val="0"/>
                <w:kern w:val="0"/>
                <w:sz w:val="24"/>
                <w:highlight w:val="none"/>
              </w:rPr>
            </w:pPr>
          </w:p>
        </w:tc>
        <w:tc>
          <w:tcPr>
            <w:tcW w:w="993" w:type="dxa"/>
            <w:vAlign w:val="center"/>
          </w:tcPr>
          <w:p>
            <w:pPr>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5.2队伍结构</w:t>
            </w:r>
          </w:p>
          <w:p>
            <w:pPr>
              <w:spacing w:line="240" w:lineRule="atLeast"/>
              <w:jc w:val="left"/>
              <w:rPr>
                <w:rFonts w:hint="eastAsia" w:ascii="仿宋" w:hAnsi="仿宋" w:eastAsia="仿宋" w:cs="仿宋"/>
                <w:b/>
                <w:snapToGrid w:val="0"/>
                <w:kern w:val="0"/>
                <w:sz w:val="24"/>
                <w:highlight w:val="none"/>
              </w:rPr>
            </w:pPr>
            <w:r>
              <w:rPr>
                <w:rFonts w:hint="eastAsia" w:ascii="仿宋" w:hAnsi="仿宋" w:eastAsia="仿宋" w:cs="仿宋"/>
                <w:b/>
                <w:bCs/>
                <w:snapToGrid w:val="0"/>
                <w:kern w:val="0"/>
                <w:sz w:val="24"/>
                <w:highlight w:val="none"/>
              </w:rPr>
              <w:t>（3分）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1.专业课教师数大于教育部办学条件基本合格标准；本专业教师队伍名册、结构、教师业务档案清晰；</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2.教师职称结构、学历结构良好、年龄结构、专业结构合理，优于教育部办学条作基本合格标准； </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3.师资队伍建设有规划和实施方案，建设成效显著。</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1.专任教师企业经历丰富，实践能力强;师资队伍结构优化，梯队合理;</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落实国家职业院校教师专业标准，专业教师数量结构满足专业教学需要，高级专业技术职称的比例、生师比、研究生学历或硕士学位（不含在读）以上的比例优于教育部办学条件合格标准，形成职称、学历、年龄结构合理的专业教学师资队伍。</w:t>
            </w:r>
          </w:p>
        </w:tc>
        <w:tc>
          <w:tcPr>
            <w:tcW w:w="5514" w:type="dxa"/>
            <w:vAlign w:val="center"/>
          </w:tcPr>
          <w:p>
            <w:pPr>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5.2.1专业师资队伍建设规划与实施、落实情况材料； </w:t>
            </w:r>
          </w:p>
          <w:p>
            <w:pPr>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5.2.2校级以上优秀教学团队建设过程材料及成果情况； </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5.2.3专业专任教师学历、学位、专业、职称、年龄等结构统计表和相关证书材料；</w:t>
            </w:r>
          </w:p>
          <w:p>
            <w:pPr>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5.2.4专业教师参加业务进修、学位进修、实践进修情况一览表。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5.2.5.专业教师获校级以上教学名师及各类表彰材料。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850" w:type="dxa"/>
            <w:vMerge w:val="continue"/>
            <w:vAlign w:val="center"/>
          </w:tcPr>
          <w:p>
            <w:pPr>
              <w:jc w:val="left"/>
              <w:rPr>
                <w:rFonts w:hint="eastAsia" w:ascii="仿宋" w:hAnsi="仿宋" w:eastAsia="仿宋" w:cs="仿宋"/>
                <w:snapToGrid w:val="0"/>
                <w:kern w:val="0"/>
                <w:sz w:val="24"/>
                <w:highlight w:val="none"/>
              </w:rPr>
            </w:pPr>
          </w:p>
        </w:tc>
        <w:tc>
          <w:tcPr>
            <w:tcW w:w="993" w:type="dxa"/>
            <w:vAlign w:val="center"/>
          </w:tcPr>
          <w:p>
            <w:pPr>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5.3师德与履职能力</w:t>
            </w:r>
          </w:p>
          <w:p>
            <w:pPr>
              <w:spacing w:line="240" w:lineRule="atLeast"/>
              <w:jc w:val="left"/>
              <w:rPr>
                <w:rFonts w:hint="eastAsia" w:ascii="仿宋" w:hAnsi="仿宋" w:eastAsia="仿宋" w:cs="仿宋"/>
                <w:snapToGrid w:val="0"/>
                <w:kern w:val="0"/>
                <w:sz w:val="24"/>
                <w:highlight w:val="none"/>
              </w:rPr>
            </w:pPr>
            <w:r>
              <w:rPr>
                <w:rFonts w:hint="eastAsia" w:ascii="仿宋" w:hAnsi="仿宋" w:eastAsia="仿宋" w:cs="仿宋"/>
                <w:b/>
                <w:bCs/>
                <w:snapToGrid w:val="0"/>
                <w:kern w:val="0"/>
                <w:sz w:val="24"/>
                <w:highlight w:val="none"/>
              </w:rPr>
              <w:t>（3分）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 落实教师队伍管理制度，重视师德建设，教师关爱学生，爱岗敬业，教书育人；</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2.没有有损教师形象或学校声誉的行为，无符合事实的学生投诉,无教学事故。</w:t>
            </w:r>
          </w:p>
        </w:tc>
        <w:tc>
          <w:tcPr>
            <w:tcW w:w="4252" w:type="dxa"/>
            <w:vAlign w:val="center"/>
          </w:tcPr>
          <w:p>
            <w:pPr>
              <w:spacing w:line="240" w:lineRule="atLeast"/>
              <w:rPr>
                <w:rFonts w:hint="eastAsia" w:ascii="仿宋" w:hAnsi="仿宋" w:eastAsia="仿宋" w:cs="仿宋"/>
                <w:snapToGrid w:val="0"/>
                <w:kern w:val="0"/>
                <w:sz w:val="24"/>
                <w:highlight w:val="none"/>
                <w:lang w:eastAsia="zh-CN"/>
              </w:rPr>
            </w:pPr>
            <w:r>
              <w:rPr>
                <w:rFonts w:hint="eastAsia" w:ascii="仿宋" w:hAnsi="仿宋" w:eastAsia="仿宋" w:cs="仿宋"/>
                <w:snapToGrid w:val="0"/>
                <w:kern w:val="0"/>
                <w:sz w:val="24"/>
                <w:highlight w:val="none"/>
              </w:rPr>
              <w:t>1.教师队伍管理制度执行效果良好，新任教师“先培训后上岗”制度、教师到企业实践制度，以老带新的青年教师培养机制完善，建立健全教师与企业人才双向交流、聘用制度，促进专业教师向“双师型”发展</w:t>
            </w:r>
            <w:r>
              <w:rPr>
                <w:rFonts w:hint="eastAsia" w:ascii="仿宋" w:hAnsi="仿宋" w:eastAsia="仿宋" w:cs="仿宋"/>
                <w:snapToGrid w:val="0"/>
                <w:kern w:val="0"/>
                <w:sz w:val="24"/>
                <w:highlight w:val="none"/>
                <w:lang w:eastAsia="zh-CN"/>
              </w:rPr>
              <w:t>；</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 完善“双师型”教师评价制度，强化师德考核，突出教师的教育教学实绩、加强实践技能水平和专业教学能力评价；</w:t>
            </w:r>
          </w:p>
          <w:p>
            <w:pPr>
              <w:spacing w:line="240" w:lineRule="atLeast"/>
              <w:rPr>
                <w:rFonts w:hint="eastAsia" w:ascii="仿宋" w:hAnsi="仿宋" w:eastAsia="仿宋" w:cs="仿宋"/>
                <w:snapToGrid w:val="0"/>
                <w:kern w:val="0"/>
                <w:sz w:val="24"/>
                <w:highlight w:val="none"/>
                <w:lang w:eastAsia="zh-CN"/>
              </w:rPr>
            </w:pPr>
            <w:r>
              <w:rPr>
                <w:rFonts w:hint="eastAsia" w:ascii="仿宋" w:hAnsi="仿宋" w:eastAsia="仿宋" w:cs="仿宋"/>
                <w:snapToGrid w:val="0"/>
                <w:kern w:val="0"/>
                <w:sz w:val="24"/>
                <w:highlight w:val="none"/>
              </w:rPr>
              <w:t>3.教师教学改革意识和质量意识强，教学水平高，科研成果丰硕</w:t>
            </w:r>
            <w:r>
              <w:rPr>
                <w:rFonts w:hint="eastAsia" w:ascii="仿宋" w:hAnsi="仿宋" w:eastAsia="仿宋" w:cs="仿宋"/>
                <w:snapToGrid w:val="0"/>
                <w:kern w:val="0"/>
                <w:sz w:val="24"/>
                <w:highlight w:val="none"/>
                <w:lang w:eastAsia="zh-CN"/>
              </w:rPr>
              <w:t>。</w:t>
            </w:r>
          </w:p>
        </w:tc>
        <w:tc>
          <w:tcPr>
            <w:tcW w:w="5514" w:type="dxa"/>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5.3.1学校、系、专业层面的教师管理制度及落实情况材料；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5.3.2系、专业关于师德师风建设的的制度文件及落实情况材料； </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5.3.3开展教书育人、为人师表、三全育人、课程思政为主题的活动材料。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5.3.4教研室近三年开展教研活动记录与成果汇总及佐证材料；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5.3.5教研室主任、专任教师年度绩效考核表；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5.3.6专业、专任教师开展“三教”改革成果汇总表及佐证材料；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5.3.7专任教师发表论文、教科研成果汇总表；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5.3.8专任教师参加业务培训与进修、学历提升情况统计汇总材料； </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5.3.9专业教师教学检查与评价(含学生评教)的原始资料及统计分析资料；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5.3.10近三年“老带新”安排表及相关指导工作材料；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5.3.11近三年教师任课情况统计表；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5.3.1</w:t>
            </w:r>
            <w:r>
              <w:rPr>
                <w:rFonts w:hint="eastAsia" w:ascii="仿宋" w:hAnsi="仿宋" w:eastAsia="仿宋" w:cs="仿宋"/>
                <w:snapToGrid w:val="0"/>
                <w:kern w:val="0"/>
                <w:sz w:val="24"/>
                <w:highlight w:val="none"/>
                <w:lang w:val="en-US" w:eastAsia="zh-CN"/>
              </w:rPr>
              <w:t>2</w:t>
            </w:r>
            <w:r>
              <w:rPr>
                <w:rFonts w:hint="eastAsia" w:ascii="仿宋" w:hAnsi="仿宋" w:eastAsia="仿宋" w:cs="仿宋"/>
                <w:snapToGrid w:val="0"/>
                <w:kern w:val="0"/>
                <w:sz w:val="24"/>
                <w:highlight w:val="none"/>
              </w:rPr>
              <w:t>近三年专任教师参加培训一览表；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5.3.1</w:t>
            </w:r>
            <w:r>
              <w:rPr>
                <w:rFonts w:hint="eastAsia" w:ascii="仿宋" w:hAnsi="仿宋" w:eastAsia="仿宋" w:cs="仿宋"/>
                <w:snapToGrid w:val="0"/>
                <w:kern w:val="0"/>
                <w:sz w:val="24"/>
                <w:highlight w:val="none"/>
                <w:lang w:val="en-US" w:eastAsia="zh-CN"/>
              </w:rPr>
              <w:t>3</w:t>
            </w:r>
            <w:r>
              <w:rPr>
                <w:rFonts w:hint="eastAsia" w:ascii="仿宋" w:hAnsi="仿宋" w:eastAsia="仿宋" w:cs="仿宋"/>
                <w:snapToGrid w:val="0"/>
                <w:kern w:val="0"/>
                <w:sz w:val="24"/>
                <w:highlight w:val="none"/>
              </w:rPr>
              <w:t>近三年学生座谈会记录及学生意见建议汇总与整改情况材料。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50" w:type="dxa"/>
            <w:vMerge w:val="restart"/>
            <w:vAlign w:val="center"/>
          </w:tcPr>
          <w:p>
            <w:pPr>
              <w:jc w:val="left"/>
              <w:rPr>
                <w:rFonts w:hint="eastAsia" w:ascii="仿宋" w:hAnsi="仿宋" w:eastAsia="仿宋" w:cs="仿宋"/>
                <w:snapToGrid w:val="0"/>
                <w:kern w:val="0"/>
                <w:sz w:val="24"/>
                <w:highlight w:val="none"/>
              </w:rPr>
            </w:pPr>
          </w:p>
        </w:tc>
        <w:tc>
          <w:tcPr>
            <w:tcW w:w="993" w:type="dxa"/>
            <w:vAlign w:val="center"/>
          </w:tcPr>
          <w:p>
            <w:pPr>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5.4专业教师实践能力（4分）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1.专任教师中“双师型”教师数比例到达70%； </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2.专业教师参加专业实践的时间达到学院相关规定，考核合格。</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1.培养和引进双师型教师</w:t>
            </w:r>
            <w:r>
              <w:rPr>
                <w:rFonts w:hint="eastAsia" w:ascii="仿宋" w:hAnsi="仿宋" w:eastAsia="仿宋" w:cs="仿宋"/>
                <w:snapToGrid w:val="0"/>
                <w:kern w:val="0"/>
                <w:sz w:val="24"/>
                <w:highlight w:val="none"/>
                <w:lang w:eastAsia="zh-CN"/>
              </w:rPr>
              <w:t>；</w:t>
            </w:r>
            <w:r>
              <w:rPr>
                <w:rFonts w:hint="eastAsia" w:ascii="仿宋" w:hAnsi="仿宋" w:eastAsia="仿宋" w:cs="仿宋"/>
                <w:snapToGrid w:val="0"/>
                <w:kern w:val="0"/>
                <w:sz w:val="24"/>
                <w:highlight w:val="none"/>
              </w:rPr>
              <w:t>优化“双师”队伍结构;实施“双师”教师素质提高计划，“双师型”教师比例不低于75%；有行业中级以上专业技术职称比例高于学校平均水平的5%；</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2.落实全员轮训，专业教师赴企业实践符合教育部关于职业院校教师到企业实践的规定，下企业实践人数多，累计时间长，技能水平显著提升。</w:t>
            </w:r>
          </w:p>
        </w:tc>
        <w:tc>
          <w:tcPr>
            <w:tcW w:w="5514" w:type="dxa"/>
            <w:vAlign w:val="center"/>
          </w:tcPr>
          <w:p>
            <w:pPr>
              <w:widowControl/>
              <w:spacing w:line="34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5.4.1专任教师名单，专任教师具备双师型教师资格情况统计与分析报告及相关证书佐证材料；</w:t>
            </w:r>
          </w:p>
          <w:p>
            <w:pPr>
              <w:widowControl/>
              <w:spacing w:line="34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5.4.2学校、专业具有行业中级以上专业技术职称的教师比例统计表；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5.4.3专任教师赴企业实践的文件、实施过程及成效材料；专业课教师企业实践情况原始材料、统计汇总与总结报告；</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5.4.4专业双师型教师培养、引进规划以及落实情况总结报告；</w:t>
            </w:r>
          </w:p>
          <w:p>
            <w:pPr>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5.4.5专任教师技术服务、开发课程、编写教材统计汇总表；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5.4.6校企专兼职教师联合开发的课程、教材和实训指导书样本；  </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5.4.7专任教师参加教育教学能力培训，或专业开展培训、培养组织及过程效果材料。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850" w:type="dxa"/>
            <w:vMerge w:val="continue"/>
            <w:vAlign w:val="center"/>
          </w:tcPr>
          <w:p>
            <w:pPr>
              <w:jc w:val="left"/>
              <w:rPr>
                <w:rFonts w:hint="eastAsia" w:ascii="仿宋" w:hAnsi="仿宋" w:eastAsia="仿宋" w:cs="仿宋"/>
                <w:snapToGrid w:val="0"/>
                <w:kern w:val="0"/>
                <w:sz w:val="24"/>
                <w:highlight w:val="none"/>
              </w:rPr>
            </w:pPr>
          </w:p>
        </w:tc>
        <w:tc>
          <w:tcPr>
            <w:tcW w:w="993" w:type="dxa"/>
            <w:vAlign w:val="center"/>
          </w:tcPr>
          <w:p>
            <w:pPr>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5.5 教学科研能力（3分）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1.专业教学研究有总体规划、具体方案和配套措施；</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2.近3年在省级以上组织的教学比赛中获奖；</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3.近3年有校省级以上教学改革立项项目和成果；</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4.近3年有校级、省级、国家级科研立项项目和成果。</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5.根据本专业特点和学生实际有针对性的开展了职业教育教学规律、人才培养模式、课程体系、教学内容、教学方法和手段改革的研究；</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6.有明确的教学改革试点课程，有方案、有目标、有总结。</w:t>
            </w:r>
          </w:p>
          <w:p>
            <w:pPr>
              <w:spacing w:line="320" w:lineRule="exact"/>
              <w:rPr>
                <w:rFonts w:hint="eastAsia" w:ascii="仿宋" w:hAnsi="仿宋" w:eastAsia="仿宋" w:cs="仿宋"/>
                <w:snapToGrid w:val="0"/>
                <w:kern w:val="0"/>
                <w:sz w:val="24"/>
                <w:highlight w:val="none"/>
              </w:rPr>
            </w:pP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1.专业教学研究有总体规划、具体方案和配套措施；</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2.根据本专业特点和学生实际有针对性的开展了职业教育教学规律、人才培养模式、课程体系、教学内容、教学方法和手段改革的研究并取得成效；</w:t>
            </w:r>
          </w:p>
          <w:p>
            <w:pPr>
              <w:spacing w:line="240" w:lineRule="atLeast"/>
              <w:rPr>
                <w:rFonts w:hint="eastAsia" w:ascii="仿宋" w:hAnsi="仿宋" w:eastAsia="仿宋" w:cs="仿宋"/>
                <w:snapToGrid w:val="0"/>
                <w:kern w:val="0"/>
                <w:sz w:val="24"/>
                <w:highlight w:val="none"/>
                <w:lang w:eastAsia="zh-CN"/>
              </w:rPr>
            </w:pPr>
            <w:r>
              <w:rPr>
                <w:rFonts w:hint="eastAsia" w:ascii="仿宋" w:hAnsi="仿宋" w:eastAsia="仿宋" w:cs="仿宋"/>
                <w:snapToGrid w:val="0"/>
                <w:kern w:val="0"/>
                <w:sz w:val="24"/>
                <w:highlight w:val="none"/>
              </w:rPr>
              <w:t>3.积极推进课程教学改革试点，有明确的试点课程，有方案、有目标、有总结</w:t>
            </w:r>
            <w:r>
              <w:rPr>
                <w:rFonts w:hint="eastAsia" w:ascii="仿宋" w:hAnsi="仿宋" w:eastAsia="仿宋" w:cs="仿宋"/>
                <w:snapToGrid w:val="0"/>
                <w:kern w:val="0"/>
                <w:sz w:val="24"/>
                <w:highlight w:val="none"/>
                <w:lang w:eastAsia="zh-CN"/>
              </w:rPr>
              <w:t>；</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4.有教研教改成果在校内推广；</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打破专业群各专业之间的界限，面向产业链不同职业岗位，选择同一方向、课程模块的教师组成结构化专业群教学创新团队，发挥教师团队协作优势，提高模块化教学水平、课程教材开发能力，近3年在省级以上教学比赛中获一等奖一项以上；</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6.加强专业群教师教学创新团队培养，采取跟岗研修、访学研修、结对学习、联合教研、项目研究、校企交流等灵活多样方式，促进教师创新团队专业发展，争创国家级、省级职业院校教师教学创新团队，近3年有省级以上教学改革或科研立项项目和成果。 </w:t>
            </w:r>
          </w:p>
        </w:tc>
        <w:tc>
          <w:tcPr>
            <w:tcW w:w="5514" w:type="dxa"/>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5.5.1教学综合改革项目建设规划及成效总结报告；</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5.5.2近三年分学年专业、专任教师开展人才培养模式、课程教学内容、教学模式、教学手段与方法改革项目、试点课程汇总表，项目方案、改革成效总结与案例；</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5.5.3“三教”改革，教学创新团队创建方案与实施成效、新型结构教材开发成果汇总与总结；</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5.5.</w:t>
            </w:r>
            <w:r>
              <w:rPr>
                <w:rFonts w:hint="eastAsia" w:ascii="仿宋" w:hAnsi="仿宋" w:eastAsia="仿宋" w:cs="仿宋"/>
                <w:snapToGrid w:val="0"/>
                <w:kern w:val="0"/>
                <w:sz w:val="24"/>
                <w:highlight w:val="none"/>
                <w:lang w:val="en-US" w:eastAsia="zh-CN"/>
              </w:rPr>
              <w:t>4</w:t>
            </w:r>
            <w:r>
              <w:rPr>
                <w:rFonts w:hint="eastAsia" w:ascii="仿宋" w:hAnsi="仿宋" w:eastAsia="仿宋" w:cs="仿宋"/>
                <w:snapToGrid w:val="0"/>
                <w:kern w:val="0"/>
                <w:sz w:val="24"/>
                <w:highlight w:val="none"/>
              </w:rPr>
              <w:t>近三年校级、省级、国家级教学改革、科研立项项目一览表；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5.5.</w:t>
            </w:r>
            <w:r>
              <w:rPr>
                <w:rFonts w:hint="eastAsia" w:ascii="仿宋" w:hAnsi="仿宋" w:eastAsia="仿宋" w:cs="仿宋"/>
                <w:snapToGrid w:val="0"/>
                <w:kern w:val="0"/>
                <w:sz w:val="24"/>
                <w:highlight w:val="none"/>
                <w:lang w:val="en-US" w:eastAsia="zh-CN"/>
              </w:rPr>
              <w:t>5</w:t>
            </w:r>
            <w:r>
              <w:rPr>
                <w:rFonts w:hint="eastAsia" w:ascii="仿宋" w:hAnsi="仿宋" w:eastAsia="仿宋" w:cs="仿宋"/>
                <w:snapToGrid w:val="0"/>
                <w:kern w:val="0"/>
                <w:sz w:val="24"/>
                <w:highlight w:val="none"/>
              </w:rPr>
              <w:t>近三年校级、省级、国家级教学比赛获奖、科研成果（论文、专利、专著）等一览表；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5.5.</w:t>
            </w:r>
            <w:r>
              <w:rPr>
                <w:rFonts w:hint="eastAsia" w:ascii="仿宋" w:hAnsi="仿宋" w:eastAsia="仿宋" w:cs="仿宋"/>
                <w:snapToGrid w:val="0"/>
                <w:kern w:val="0"/>
                <w:sz w:val="24"/>
                <w:highlight w:val="none"/>
                <w:lang w:val="en-US" w:eastAsia="zh-CN"/>
              </w:rPr>
              <w:t>6</w:t>
            </w:r>
            <w:r>
              <w:rPr>
                <w:rFonts w:hint="eastAsia" w:ascii="仿宋" w:hAnsi="仿宋" w:eastAsia="仿宋" w:cs="仿宋"/>
                <w:snapToGrid w:val="0"/>
                <w:kern w:val="0"/>
                <w:sz w:val="24"/>
                <w:highlight w:val="none"/>
              </w:rPr>
              <w:t>近三年分学年教师教学研究课题汇总表；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5.5.</w:t>
            </w:r>
            <w:r>
              <w:rPr>
                <w:rFonts w:hint="eastAsia" w:ascii="仿宋" w:hAnsi="仿宋" w:eastAsia="仿宋" w:cs="仿宋"/>
                <w:snapToGrid w:val="0"/>
                <w:kern w:val="0"/>
                <w:sz w:val="24"/>
                <w:highlight w:val="none"/>
                <w:lang w:val="en-US" w:eastAsia="zh-CN"/>
              </w:rPr>
              <w:t>7</w:t>
            </w:r>
            <w:r>
              <w:rPr>
                <w:rFonts w:hint="eastAsia" w:ascii="仿宋" w:hAnsi="仿宋" w:eastAsia="仿宋" w:cs="仿宋"/>
                <w:snapToGrid w:val="0"/>
                <w:kern w:val="0"/>
                <w:sz w:val="24"/>
                <w:highlight w:val="none"/>
              </w:rPr>
              <w:t>近三年分学年专任教师为行业企业技术服务汇总统计表。</w:t>
            </w:r>
          </w:p>
          <w:p>
            <w:pPr>
              <w:snapToGrid w:val="0"/>
              <w:spacing w:line="280" w:lineRule="exact"/>
              <w:jc w:val="left"/>
              <w:rPr>
                <w:rFonts w:hint="eastAsia" w:ascii="仿宋" w:hAnsi="仿宋" w:eastAsia="仿宋" w:cs="仿宋"/>
                <w:snapToGrid w:val="0"/>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atLeast"/>
          <w:jc w:val="center"/>
        </w:trPr>
        <w:tc>
          <w:tcPr>
            <w:tcW w:w="850" w:type="dxa"/>
            <w:vMerge w:val="continue"/>
            <w:vAlign w:val="center"/>
          </w:tcPr>
          <w:p>
            <w:pPr>
              <w:jc w:val="left"/>
              <w:rPr>
                <w:rFonts w:hint="eastAsia" w:ascii="仿宋" w:hAnsi="仿宋" w:eastAsia="仿宋" w:cs="仿宋"/>
                <w:snapToGrid w:val="0"/>
                <w:kern w:val="0"/>
                <w:sz w:val="24"/>
                <w:highlight w:val="none"/>
              </w:rPr>
            </w:pPr>
          </w:p>
        </w:tc>
        <w:tc>
          <w:tcPr>
            <w:tcW w:w="993" w:type="dxa"/>
            <w:vAlign w:val="center"/>
          </w:tcPr>
          <w:p>
            <w:pPr>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5.6兼职教师</w:t>
            </w:r>
          </w:p>
          <w:p>
            <w:pPr>
              <w:spacing w:line="240" w:lineRule="atLeast"/>
              <w:jc w:val="left"/>
              <w:rPr>
                <w:rFonts w:hint="eastAsia" w:ascii="仿宋" w:hAnsi="仿宋" w:eastAsia="仿宋" w:cs="仿宋"/>
                <w:b/>
                <w:snapToGrid w:val="0"/>
                <w:kern w:val="0"/>
                <w:sz w:val="24"/>
                <w:highlight w:val="none"/>
              </w:rPr>
            </w:pPr>
            <w:r>
              <w:rPr>
                <w:rFonts w:hint="eastAsia" w:ascii="仿宋" w:hAnsi="仿宋" w:eastAsia="仿宋" w:cs="仿宋"/>
                <w:b/>
                <w:bCs/>
                <w:snapToGrid w:val="0"/>
                <w:kern w:val="0"/>
                <w:sz w:val="24"/>
                <w:highlight w:val="none"/>
              </w:rPr>
              <w:t>（4分）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1.聘请来自企业一线的兼职教师占教职工总数的比例达30%以上；校外见习、实习有稳定的兼职教师队伍，兼职教师承担的校内专业课学时比例达到10%以上；</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2.兼职教师具有中级以上职称</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1.注重吸引高水平行业精英和企业骨干来校任教，占专业教师总数的比例达35%以上；</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2.校外兼职教师具有丰富企业工作经历，在行业中具有一定影响力，具有中级以上职称、行业内享有较高声誉的技术骨干或能工巧匠具有相当的技术职务或职业资格；</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3.注重校企协同建设专业群教学创新团队，聘请行业企业专业技术人才、高技能人才兼职参与专业建设、课程建设、名师工作室建设、产学研合作等，形成专任教师与产业导师专兼相结合的教学创新团队。</w:t>
            </w:r>
          </w:p>
        </w:tc>
        <w:tc>
          <w:tcPr>
            <w:tcW w:w="5514" w:type="dxa"/>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5.6.1行业、企业兼职教师学历、学位、年龄、技术职称、技术（职业资格）等级、来源、职务等结构统计表及聘书；</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5.6.2行业、企业兼职教师任教课程（教学环节）、教学课时统计表及教学任务书；</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5.6.3行业、企业兼职教师参与专业建设、课程建设、创新团队建设、教学改革工程、教改、科研项目的统计汇总表及原始工作材料；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w:t>
            </w:r>
            <w:r>
              <w:rPr>
                <w:rFonts w:hint="eastAsia" w:ascii="仿宋" w:hAnsi="仿宋" w:eastAsia="仿宋" w:cs="仿宋"/>
                <w:snapToGrid w:val="0"/>
                <w:kern w:val="0"/>
                <w:sz w:val="24"/>
                <w:highlight w:val="none"/>
                <w:lang w:val="en-US" w:eastAsia="zh-CN"/>
              </w:rPr>
              <w:t>6</w:t>
            </w:r>
            <w:r>
              <w:rPr>
                <w:rFonts w:hint="eastAsia" w:ascii="仿宋" w:hAnsi="仿宋" w:eastAsia="仿宋" w:cs="仿宋"/>
                <w:snapToGrid w:val="0"/>
                <w:kern w:val="0"/>
                <w:sz w:val="24"/>
                <w:highlight w:val="none"/>
              </w:rPr>
              <w:t>.4兼职教师管理制度相关文件和资料；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5.</w:t>
            </w:r>
            <w:r>
              <w:rPr>
                <w:rFonts w:hint="eastAsia" w:ascii="仿宋" w:hAnsi="仿宋" w:eastAsia="仿宋" w:cs="仿宋"/>
                <w:snapToGrid w:val="0"/>
                <w:kern w:val="0"/>
                <w:sz w:val="24"/>
                <w:highlight w:val="none"/>
                <w:lang w:val="en-US" w:eastAsia="zh-CN"/>
              </w:rPr>
              <w:t>6</w:t>
            </w:r>
            <w:r>
              <w:rPr>
                <w:rFonts w:hint="eastAsia" w:ascii="仿宋" w:hAnsi="仿宋" w:eastAsia="仿宋" w:cs="仿宋"/>
                <w:snapToGrid w:val="0"/>
                <w:kern w:val="0"/>
                <w:sz w:val="24"/>
                <w:highlight w:val="none"/>
              </w:rPr>
              <w:t>.5兼职教师教育教学能力培养培训、实施过程及成效材料。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850" w:type="dxa"/>
            <w:vMerge w:val="restart"/>
            <w:vAlign w:val="center"/>
          </w:tcPr>
          <w:p>
            <w:pPr>
              <w:spacing w:line="320" w:lineRule="exact"/>
              <w:jc w:val="center"/>
              <w:rPr>
                <w:rFonts w:hint="eastAsia" w:ascii="仿宋" w:hAnsi="仿宋" w:eastAsia="仿宋" w:cs="仿宋"/>
                <w:b/>
                <w:sz w:val="24"/>
                <w:highlight w:val="none"/>
              </w:rPr>
            </w:pPr>
            <w:r>
              <w:rPr>
                <w:rFonts w:hint="eastAsia" w:ascii="仿宋" w:hAnsi="仿宋" w:eastAsia="仿宋" w:cs="仿宋"/>
                <w:b/>
                <w:sz w:val="24"/>
                <w:highlight w:val="none"/>
              </w:rPr>
              <w:t>6 .学生满意度</w:t>
            </w:r>
          </w:p>
          <w:p>
            <w:pPr>
              <w:spacing w:line="320" w:lineRule="exact"/>
              <w:jc w:val="center"/>
              <w:rPr>
                <w:rFonts w:hint="eastAsia" w:ascii="仿宋" w:hAnsi="仿宋" w:eastAsia="仿宋" w:cs="仿宋"/>
                <w:b/>
                <w:snapToGrid w:val="0"/>
                <w:kern w:val="0"/>
                <w:szCs w:val="21"/>
                <w:highlight w:val="none"/>
              </w:rPr>
            </w:pPr>
            <w:r>
              <w:rPr>
                <w:rFonts w:hint="eastAsia" w:ascii="仿宋" w:hAnsi="仿宋" w:eastAsia="仿宋" w:cs="仿宋"/>
                <w:b/>
                <w:sz w:val="24"/>
                <w:highlight w:val="none"/>
              </w:rPr>
              <w:t>（6分）</w:t>
            </w:r>
          </w:p>
        </w:tc>
        <w:tc>
          <w:tcPr>
            <w:tcW w:w="993" w:type="dxa"/>
            <w:vAlign w:val="center"/>
          </w:tcPr>
          <w:p>
            <w:pPr>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6.1对教学保障的满意度(3分)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1.学生了解人才培养方案，并参与人才培养方案建设工作；</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2.对专业课程、师资、实训、实习等的满意度，学生对课堂教学和实践教学满意度≥85%</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3.对就业创业指导、学生工作与服务的满意度≥80%</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1.学生熟悉人才培养方案，并积极参与人才培养方案的建设与实施工作；</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2.学生对课堂教学和实践教学的满意度≥90%</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3.对就业创业指导、学生工作与服务的满意度≥85%</w:t>
            </w:r>
          </w:p>
        </w:tc>
        <w:tc>
          <w:tcPr>
            <w:tcW w:w="5514" w:type="dxa"/>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6.1.1对学生开展专业介绍、专业教育方案及原始材料；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6.1.2面向专业学生解读、征求、采纳专业人才培养方案建设意见的原始材料；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6.1.3对在校学生进行的各相关项目的满意度测评结果及原始材料；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6.1.4召开学生座谈会。</w:t>
            </w:r>
          </w:p>
          <w:p>
            <w:pPr>
              <w:snapToGrid w:val="0"/>
              <w:spacing w:line="280" w:lineRule="exact"/>
              <w:jc w:val="left"/>
              <w:rPr>
                <w:rFonts w:hint="eastAsia" w:ascii="仿宋" w:hAnsi="仿宋" w:eastAsia="仿宋" w:cs="仿宋"/>
                <w:snapToGrid w:val="0"/>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850" w:type="dxa"/>
            <w:vMerge w:val="continue"/>
            <w:vAlign w:val="center"/>
          </w:tcPr>
          <w:p>
            <w:pPr>
              <w:jc w:val="left"/>
              <w:rPr>
                <w:rFonts w:hint="eastAsia" w:ascii="仿宋" w:hAnsi="仿宋" w:eastAsia="仿宋" w:cs="仿宋"/>
                <w:snapToGrid w:val="0"/>
                <w:kern w:val="0"/>
                <w:sz w:val="24"/>
                <w:highlight w:val="none"/>
              </w:rPr>
            </w:pPr>
          </w:p>
        </w:tc>
        <w:tc>
          <w:tcPr>
            <w:tcW w:w="993" w:type="dxa"/>
            <w:vAlign w:val="center"/>
          </w:tcPr>
          <w:p>
            <w:pPr>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6.2毕业生满意度(3分)</w:t>
            </w:r>
          </w:p>
        </w:tc>
        <w:tc>
          <w:tcPr>
            <w:tcW w:w="2835"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1.毕业生工作能力满足度达75%；</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2.毕业生核心知识满足度达70%；</w:t>
            </w:r>
          </w:p>
        </w:tc>
        <w:tc>
          <w:tcPr>
            <w:tcW w:w="4252" w:type="dxa"/>
            <w:vAlign w:val="center"/>
          </w:tcPr>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毕业生满意度及用人单位满意度持续提高：</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1.毕业生工作能力满足度达80%；</w:t>
            </w:r>
          </w:p>
          <w:p>
            <w:pPr>
              <w:spacing w:line="240" w:lineRule="atLeas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2.毕业生核心知识满足度达75%；</w:t>
            </w:r>
          </w:p>
        </w:tc>
        <w:tc>
          <w:tcPr>
            <w:tcW w:w="5514" w:type="dxa"/>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6.2.1近三年毕业生及用人单位满意度调查分析报告；</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6.2.2对毕业生进行的相关满意度调查结果分析报告及原始材料。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50" w:type="dxa"/>
            <w:vMerge w:val="restart"/>
            <w:vAlign w:val="center"/>
          </w:tcPr>
          <w:p>
            <w:pPr>
              <w:spacing w:line="320" w:lineRule="exact"/>
              <w:jc w:val="center"/>
              <w:rPr>
                <w:rFonts w:hint="eastAsia" w:ascii="仿宋" w:hAnsi="仿宋" w:eastAsia="仿宋" w:cs="仿宋"/>
                <w:snapToGrid w:val="0"/>
                <w:kern w:val="0"/>
                <w:sz w:val="24"/>
                <w:highlight w:val="none"/>
              </w:rPr>
            </w:pPr>
            <w:r>
              <w:rPr>
                <w:rFonts w:hint="eastAsia" w:ascii="仿宋" w:hAnsi="仿宋" w:eastAsia="仿宋" w:cs="仿宋"/>
                <w:b/>
                <w:sz w:val="24"/>
                <w:highlight w:val="none"/>
              </w:rPr>
              <w:t>7.人才培养质量(15分)</w:t>
            </w:r>
          </w:p>
        </w:tc>
        <w:tc>
          <w:tcPr>
            <w:tcW w:w="993" w:type="dxa"/>
            <w:vAlign w:val="center"/>
          </w:tcPr>
          <w:p>
            <w:pPr>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7.1用人单位满意度（3分）</w:t>
            </w:r>
          </w:p>
        </w:tc>
        <w:tc>
          <w:tcPr>
            <w:tcW w:w="2835" w:type="dxa"/>
            <w:vAlign w:val="center"/>
          </w:tcPr>
          <w:p>
            <w:pPr>
              <w:spacing w:line="320" w:lineRule="exact"/>
              <w:rPr>
                <w:rFonts w:hint="eastAsia" w:ascii="仿宋" w:hAnsi="仿宋" w:eastAsia="仿宋" w:cs="仿宋"/>
                <w:snapToGrid w:val="0"/>
                <w:kern w:val="0"/>
                <w:sz w:val="24"/>
                <w:highlight w:val="none"/>
                <w:lang w:eastAsia="zh-CN"/>
              </w:rPr>
            </w:pPr>
            <w:r>
              <w:rPr>
                <w:rFonts w:hint="eastAsia" w:ascii="仿宋" w:hAnsi="仿宋" w:eastAsia="仿宋" w:cs="仿宋"/>
                <w:snapToGrid w:val="0"/>
                <w:kern w:val="0"/>
                <w:sz w:val="24"/>
                <w:highlight w:val="none"/>
              </w:rPr>
              <w:t>用人单位对毕业生从业能力的满意度达85%以上</w:t>
            </w:r>
            <w:r>
              <w:rPr>
                <w:rFonts w:hint="eastAsia" w:ascii="仿宋" w:hAnsi="仿宋" w:eastAsia="仿宋" w:cs="仿宋"/>
                <w:snapToGrid w:val="0"/>
                <w:kern w:val="0"/>
                <w:sz w:val="24"/>
                <w:highlight w:val="none"/>
                <w:lang w:eastAsia="zh-CN"/>
              </w:rPr>
              <w:t>，高于学校整体平均值。</w:t>
            </w:r>
          </w:p>
        </w:tc>
        <w:tc>
          <w:tcPr>
            <w:tcW w:w="4252" w:type="dxa"/>
            <w:vAlign w:val="center"/>
          </w:tcPr>
          <w:p>
            <w:pPr>
              <w:spacing w:line="240" w:lineRule="atLeast"/>
              <w:rPr>
                <w:rFonts w:hint="eastAsia" w:ascii="仿宋" w:hAnsi="仿宋" w:eastAsia="仿宋" w:cs="仿宋"/>
                <w:snapToGrid w:val="0"/>
                <w:kern w:val="0"/>
                <w:sz w:val="24"/>
                <w:highlight w:val="none"/>
                <w:lang w:eastAsia="zh-CN"/>
              </w:rPr>
            </w:pPr>
            <w:r>
              <w:rPr>
                <w:rFonts w:hint="eastAsia" w:ascii="仿宋" w:hAnsi="仿宋" w:eastAsia="仿宋" w:cs="仿宋"/>
                <w:snapToGrid w:val="0"/>
                <w:kern w:val="0"/>
                <w:sz w:val="24"/>
                <w:highlight w:val="none"/>
              </w:rPr>
              <w:t>用人单位对毕业生满意度持续提高，毕业生获得社会普遍认可，从业能力的满意度达90%以上</w:t>
            </w:r>
            <w:r>
              <w:rPr>
                <w:rFonts w:hint="eastAsia" w:ascii="仿宋" w:hAnsi="仿宋" w:eastAsia="仿宋" w:cs="仿宋"/>
                <w:snapToGrid w:val="0"/>
                <w:kern w:val="0"/>
                <w:sz w:val="24"/>
                <w:highlight w:val="none"/>
                <w:lang w:eastAsia="zh-CN"/>
              </w:rPr>
              <w:t>，</w:t>
            </w:r>
            <w:r>
              <w:rPr>
                <w:rFonts w:hint="eastAsia" w:ascii="仿宋" w:hAnsi="仿宋" w:eastAsia="仿宋" w:cs="仿宋"/>
                <w:snapToGrid w:val="0"/>
                <w:kern w:val="0"/>
                <w:sz w:val="24"/>
                <w:szCs w:val="24"/>
                <w:highlight w:val="none"/>
              </w:rPr>
              <w:t>比学校平均值高5%。</w:t>
            </w:r>
          </w:p>
        </w:tc>
        <w:tc>
          <w:tcPr>
            <w:tcW w:w="5514" w:type="dxa"/>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近三年用人单位相关项目满意度调查分析报告及原始材料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4" w:hRule="atLeast"/>
          <w:jc w:val="center"/>
        </w:trPr>
        <w:tc>
          <w:tcPr>
            <w:tcW w:w="850" w:type="dxa"/>
            <w:vMerge w:val="continue"/>
            <w:vAlign w:val="center"/>
          </w:tcPr>
          <w:p>
            <w:pPr>
              <w:jc w:val="left"/>
              <w:rPr>
                <w:rFonts w:hint="eastAsia" w:ascii="仿宋" w:hAnsi="仿宋" w:eastAsia="仿宋" w:cs="仿宋"/>
                <w:snapToGrid w:val="0"/>
                <w:kern w:val="0"/>
                <w:sz w:val="24"/>
                <w:highlight w:val="none"/>
              </w:rPr>
            </w:pPr>
          </w:p>
        </w:tc>
        <w:tc>
          <w:tcPr>
            <w:tcW w:w="993" w:type="dxa"/>
            <w:vAlign w:val="center"/>
          </w:tcPr>
          <w:p>
            <w:pPr>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7.2就业状况</w:t>
            </w:r>
          </w:p>
          <w:p>
            <w:pPr>
              <w:jc w:val="left"/>
              <w:rPr>
                <w:rFonts w:hint="eastAsia" w:ascii="仿宋" w:hAnsi="仿宋" w:eastAsia="仿宋" w:cs="仿宋"/>
                <w:snapToGrid w:val="0"/>
                <w:kern w:val="0"/>
                <w:sz w:val="24"/>
                <w:highlight w:val="none"/>
              </w:rPr>
            </w:pPr>
            <w:r>
              <w:rPr>
                <w:rFonts w:hint="eastAsia" w:ascii="仿宋" w:hAnsi="仿宋" w:eastAsia="仿宋" w:cs="仿宋"/>
                <w:b/>
                <w:bCs/>
                <w:snapToGrid w:val="0"/>
                <w:kern w:val="0"/>
                <w:sz w:val="24"/>
                <w:highlight w:val="none"/>
              </w:rPr>
              <w:t>（6分）</w:t>
            </w:r>
          </w:p>
        </w:tc>
        <w:tc>
          <w:tcPr>
            <w:tcW w:w="2835" w:type="dxa"/>
            <w:vAlign w:val="center"/>
          </w:tcPr>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1.毕业生初次就业率达到90%，高于本省高职院校的平均水平；</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lang w:val="en-US" w:eastAsia="zh-CN"/>
              </w:rPr>
              <w:t>2</w:t>
            </w:r>
            <w:r>
              <w:rPr>
                <w:rFonts w:hint="eastAsia" w:ascii="仿宋" w:hAnsi="仿宋" w:eastAsia="仿宋" w:cs="仿宋"/>
                <w:snapToGrid w:val="0"/>
                <w:kern w:val="0"/>
                <w:sz w:val="24"/>
                <w:highlight w:val="none"/>
              </w:rPr>
              <w:t>.毕业生就业情况分析（包括工作单位、就业地域分布等）；</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lang w:val="en-US" w:eastAsia="zh-CN"/>
              </w:rPr>
              <w:t>3</w:t>
            </w:r>
            <w:r>
              <w:rPr>
                <w:rFonts w:hint="eastAsia" w:ascii="仿宋" w:hAnsi="仿宋" w:eastAsia="仿宋" w:cs="仿宋"/>
                <w:snapToGrid w:val="0"/>
                <w:kern w:val="0"/>
                <w:sz w:val="24"/>
                <w:highlight w:val="none"/>
              </w:rPr>
              <w:t>.毕业生岗位适应性达80%，</w:t>
            </w:r>
            <w:r>
              <w:rPr>
                <w:rFonts w:hint="eastAsia" w:ascii="仿宋" w:hAnsi="仿宋" w:eastAsia="仿宋" w:cs="仿宋"/>
                <w:snapToGrid w:val="0"/>
                <w:kern w:val="0"/>
                <w:sz w:val="24"/>
                <w:highlight w:val="none"/>
                <w:lang w:val="en-US" w:eastAsia="zh-CN"/>
              </w:rPr>
              <w:t>专业对口就业率不低于70%</w:t>
            </w:r>
            <w:r>
              <w:rPr>
                <w:rFonts w:hint="eastAsia" w:ascii="仿宋" w:hAnsi="仿宋" w:eastAsia="仿宋" w:cs="仿宋"/>
                <w:snapToGrid w:val="0"/>
                <w:kern w:val="0"/>
                <w:sz w:val="24"/>
                <w:highlight w:val="none"/>
              </w:rPr>
              <w:t>。</w:t>
            </w:r>
          </w:p>
        </w:tc>
        <w:tc>
          <w:tcPr>
            <w:tcW w:w="4252" w:type="dxa"/>
            <w:vAlign w:val="center"/>
          </w:tcPr>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1.毕业生初次就业率≥95%，≥本省高职院校的平均水平5%；</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2.毕业生就业竞争力和就业质量高，社会认可度高，毕业生半年后就业率达95%以上，专业对口就业率保持在80%以上；</w:t>
            </w:r>
          </w:p>
          <w:p>
            <w:pPr>
              <w:spacing w:line="320" w:lineRule="exact"/>
              <w:rPr>
                <w:rFonts w:hint="eastAsia" w:ascii="仿宋" w:hAnsi="仿宋" w:eastAsia="仿宋" w:cs="仿宋"/>
                <w:color w:val="444444"/>
                <w:kern w:val="0"/>
                <w:sz w:val="14"/>
                <w:szCs w:val="14"/>
                <w:highlight w:val="none"/>
              </w:rPr>
            </w:pPr>
            <w:r>
              <w:rPr>
                <w:rFonts w:hint="eastAsia" w:ascii="仿宋" w:hAnsi="仿宋" w:eastAsia="仿宋" w:cs="仿宋"/>
                <w:snapToGrid w:val="0"/>
                <w:kern w:val="0"/>
                <w:sz w:val="24"/>
                <w:highlight w:val="none"/>
              </w:rPr>
              <w:t>3.毕业生就业区域、就业单位（类型、规模）等情况分析；</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4.毕业生半年后就业岗位、薪资水平、职位晋升状态好。</w:t>
            </w:r>
          </w:p>
        </w:tc>
        <w:tc>
          <w:tcPr>
            <w:tcW w:w="5514" w:type="dxa"/>
            <w:tcBorders>
              <w:top w:val="single" w:color="auto" w:sz="4" w:space="0"/>
            </w:tcBorders>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7.2.1 近三年专业的毕业生名单及其就业单位一览表，年底前就业人数、就业率统计表；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7.2.2近三年毕业生就业质量分析报告和用人单位对毕业生称职状况评价的原始资料；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7.2.3近三年专业就业区域、就业专业对口率统计表；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7.2.4近三年专业毕业生就业起薪统计表；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7.2.5近三年专业毕业生半年后就业就业岗位、职位晋升、薪资水平状况统计表；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7.2.6省级教育行政部门公布的就业率等相关指标排名顺序的文件。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 w:hRule="atLeast"/>
          <w:jc w:val="center"/>
        </w:trPr>
        <w:tc>
          <w:tcPr>
            <w:tcW w:w="850" w:type="dxa"/>
            <w:vMerge w:val="continue"/>
            <w:vAlign w:val="center"/>
          </w:tcPr>
          <w:p>
            <w:pPr>
              <w:jc w:val="left"/>
              <w:rPr>
                <w:rFonts w:hint="eastAsia" w:ascii="仿宋" w:hAnsi="仿宋" w:eastAsia="仿宋" w:cs="仿宋"/>
                <w:snapToGrid w:val="0"/>
                <w:kern w:val="0"/>
                <w:sz w:val="24"/>
                <w:highlight w:val="none"/>
              </w:rPr>
            </w:pPr>
          </w:p>
        </w:tc>
        <w:tc>
          <w:tcPr>
            <w:tcW w:w="993" w:type="dxa"/>
            <w:vAlign w:val="center"/>
          </w:tcPr>
          <w:p>
            <w:pPr>
              <w:jc w:val="left"/>
              <w:rPr>
                <w:rFonts w:hint="eastAsia" w:ascii="仿宋" w:hAnsi="仿宋" w:eastAsia="仿宋" w:cs="仿宋"/>
                <w:b/>
                <w:bCs/>
                <w:snapToGrid w:val="0"/>
                <w:kern w:val="0"/>
                <w:sz w:val="24"/>
                <w:highlight w:val="none"/>
              </w:rPr>
            </w:pPr>
          </w:p>
          <w:p>
            <w:pPr>
              <w:jc w:val="left"/>
              <w:rPr>
                <w:rFonts w:hint="eastAsia" w:ascii="仿宋" w:hAnsi="仿宋" w:eastAsia="仿宋" w:cs="仿宋"/>
                <w:b/>
                <w:bCs/>
                <w:snapToGrid w:val="0"/>
                <w:kern w:val="0"/>
                <w:sz w:val="24"/>
                <w:highlight w:val="none"/>
              </w:rPr>
            </w:pPr>
          </w:p>
          <w:p>
            <w:pPr>
              <w:jc w:val="left"/>
              <w:rPr>
                <w:rFonts w:hint="eastAsia" w:ascii="仿宋" w:hAnsi="仿宋" w:eastAsia="仿宋" w:cs="仿宋"/>
                <w:b/>
                <w:bCs/>
                <w:snapToGrid w:val="0"/>
                <w:kern w:val="0"/>
                <w:sz w:val="24"/>
                <w:highlight w:val="none"/>
              </w:rPr>
            </w:pPr>
          </w:p>
          <w:p>
            <w:pPr>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7.3学生技能水平（6分）</w:t>
            </w:r>
          </w:p>
        </w:tc>
        <w:tc>
          <w:tcPr>
            <w:tcW w:w="2835" w:type="dxa"/>
            <w:vAlign w:val="center"/>
          </w:tcPr>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1.积极组织学生技能竞赛活动；</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2.每年均有学生获市级及以上技能竞赛奖项。</w:t>
            </w:r>
          </w:p>
          <w:p>
            <w:pPr>
              <w:spacing w:line="320" w:lineRule="exact"/>
              <w:rPr>
                <w:rFonts w:hint="eastAsia" w:ascii="仿宋" w:hAnsi="仿宋" w:eastAsia="仿宋" w:cs="仿宋"/>
                <w:snapToGrid w:val="0"/>
                <w:kern w:val="0"/>
                <w:sz w:val="24"/>
                <w:highlight w:val="none"/>
                <w:lang w:eastAsia="zh-CN"/>
              </w:rPr>
            </w:pPr>
            <w:r>
              <w:rPr>
                <w:rFonts w:hint="eastAsia" w:ascii="仿宋" w:hAnsi="仿宋" w:eastAsia="仿宋" w:cs="仿宋"/>
                <w:snapToGrid w:val="0"/>
                <w:kern w:val="0"/>
                <w:sz w:val="24"/>
                <w:highlight w:val="none"/>
              </w:rPr>
              <w:t>3. 外语及计算机等级考试通过率≥学校平均水平，大学生体育合格率≥95%</w:t>
            </w:r>
            <w:r>
              <w:rPr>
                <w:rFonts w:hint="eastAsia" w:ascii="仿宋" w:hAnsi="仿宋" w:eastAsia="仿宋" w:cs="仿宋"/>
                <w:snapToGrid w:val="0"/>
                <w:kern w:val="0"/>
                <w:sz w:val="24"/>
                <w:highlight w:val="none"/>
                <w:lang w:eastAsia="zh-CN"/>
              </w:rPr>
              <w:t>；</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 双证书、1+X证书（或专业技能）获取率（合格率）80%以上</w:t>
            </w:r>
          </w:p>
          <w:p>
            <w:pPr>
              <w:spacing w:line="320" w:lineRule="exact"/>
              <w:rPr>
                <w:rFonts w:hint="eastAsia" w:ascii="仿宋" w:hAnsi="仿宋" w:eastAsia="仿宋" w:cs="仿宋"/>
                <w:snapToGrid w:val="0"/>
                <w:kern w:val="0"/>
                <w:sz w:val="24"/>
                <w:highlight w:val="none"/>
              </w:rPr>
            </w:pPr>
          </w:p>
        </w:tc>
        <w:tc>
          <w:tcPr>
            <w:tcW w:w="4252" w:type="dxa"/>
            <w:vAlign w:val="center"/>
          </w:tcPr>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1.建立形成了三级职业技能竞赛机制，技能竞赛与专业教学紧密结合，以赛促教、以赛促学，学生参加各级技能大赛比例高，参加省级以上职业技能大赛并获奖；</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2.具有竞赛承办能力，积极承办各级各类的技能大赛；</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3.将创新创业教育融入人才培养全过程，积极组织参加省级以上创新创业大赛并获奖；</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4.外语、计算机等级考试等课程证书通过率≥学校（或省市）平均水平5%，大学生体育合格率≥97%；</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napToGrid w:val="0"/>
                <w:kern w:val="0"/>
                <w:sz w:val="24"/>
                <w:highlight w:val="none"/>
                <w:lang w:eastAsia="zh-CN"/>
              </w:rPr>
            </w:pPr>
            <w:r>
              <w:rPr>
                <w:rFonts w:hint="eastAsia" w:ascii="仿宋" w:hAnsi="仿宋" w:eastAsia="仿宋" w:cs="仿宋"/>
                <w:snapToGrid w:val="0"/>
                <w:kern w:val="0"/>
                <w:sz w:val="24"/>
                <w:highlight w:val="none"/>
              </w:rPr>
              <w:t>5.双证书、1+X证书（或专业技能）获取率（合格率）90%以上得2分，80%以上得1分，80%以下不得分</w:t>
            </w:r>
            <w:r>
              <w:rPr>
                <w:rFonts w:hint="eastAsia" w:ascii="仿宋" w:hAnsi="仿宋" w:eastAsia="仿宋" w:cs="仿宋"/>
                <w:snapToGrid w:val="0"/>
                <w:kern w:val="0"/>
                <w:sz w:val="24"/>
                <w:highlight w:val="none"/>
                <w:lang w:eastAsia="zh-CN"/>
              </w:rPr>
              <w:t>。</w:t>
            </w:r>
          </w:p>
        </w:tc>
        <w:tc>
          <w:tcPr>
            <w:tcW w:w="5514" w:type="dxa"/>
            <w:vAlign w:val="center"/>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7.3.1近三年专业组织开展的校、系、专业级的技能竞赛项目、学生参加竞赛情况汇总表；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7.3.2技能竞赛融入课程教学、课程考核的课程与竞赛项目一览表；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7.3.3近三年学生参加校级以上职业技能竞赛获奖汇总表；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7.3.4近三年学生参加创新创业大赛及获奖情况汇总表；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7.3.5近三年毕业生获得外语与计算机等级证书名单及通过率统计；</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7.3.6近三年学生体育成绩合格情况汇总表；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7.3.7专业将技能等级证书、职业资格等级证书融入培养方案项目一览表；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7.3.8近三年学生参加技能等级证书、职业资格证书考核鉴定的学生名册及成绩统计资料；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7.3.9学生参加校级以上体艺比赛成果材料；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7.3.10以实务专题（真实项目）为载体，培养学生关键能力成果材料；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4" w:hRule="atLeast"/>
          <w:jc w:val="center"/>
        </w:trPr>
        <w:tc>
          <w:tcPr>
            <w:tcW w:w="850"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jc w:val="center"/>
              <w:rPr>
                <w:rFonts w:hint="eastAsia" w:ascii="仿宋" w:hAnsi="仿宋" w:eastAsia="仿宋" w:cs="仿宋"/>
                <w:b/>
                <w:sz w:val="24"/>
                <w:highlight w:val="none"/>
              </w:rPr>
            </w:pPr>
            <w:r>
              <w:rPr>
                <w:rFonts w:hint="eastAsia" w:ascii="仿宋" w:hAnsi="仿宋" w:eastAsia="仿宋" w:cs="仿宋"/>
                <w:b/>
                <w:sz w:val="24"/>
                <w:highlight w:val="none"/>
              </w:rPr>
              <w:t>8.校企（医）合作与社会服务</w:t>
            </w:r>
          </w:p>
          <w:p>
            <w:pPr>
              <w:keepNext w:val="0"/>
              <w:keepLines w:val="0"/>
              <w:pageBreakBefore w:val="0"/>
              <w:widowControl w:val="0"/>
              <w:kinsoku/>
              <w:wordWrap/>
              <w:overflowPunct/>
              <w:topLinePunct w:val="0"/>
              <w:autoSpaceDE/>
              <w:autoSpaceDN/>
              <w:bidi w:val="0"/>
              <w:adjustRightInd/>
              <w:spacing w:line="360" w:lineRule="exact"/>
              <w:jc w:val="center"/>
              <w:rPr>
                <w:rFonts w:hint="eastAsia" w:ascii="仿宋" w:hAnsi="仿宋" w:eastAsia="仿宋" w:cs="仿宋"/>
                <w:snapToGrid w:val="0"/>
                <w:kern w:val="0"/>
                <w:sz w:val="24"/>
                <w:highlight w:val="none"/>
              </w:rPr>
            </w:pPr>
            <w:r>
              <w:rPr>
                <w:rFonts w:hint="eastAsia" w:ascii="仿宋" w:hAnsi="仿宋" w:eastAsia="仿宋" w:cs="仿宋"/>
                <w:b/>
                <w:sz w:val="24"/>
                <w:highlight w:val="none"/>
              </w:rPr>
              <w:t>（14分）</w:t>
            </w:r>
          </w:p>
        </w:tc>
        <w:tc>
          <w:tcPr>
            <w:tcW w:w="993" w:type="dxa"/>
            <w:vAlign w:val="center"/>
          </w:tcPr>
          <w:p>
            <w:pPr>
              <w:keepNext w:val="0"/>
              <w:keepLines w:val="0"/>
              <w:pageBreakBefore w:val="0"/>
              <w:widowControl w:val="0"/>
              <w:kinsoku/>
              <w:wordWrap/>
              <w:overflowPunct/>
              <w:topLinePunct w:val="0"/>
              <w:autoSpaceDE/>
              <w:autoSpaceDN/>
              <w:bidi w:val="0"/>
              <w:adjustRightInd/>
              <w:spacing w:line="360" w:lineRule="exac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8.1校企合作（8分）</w:t>
            </w:r>
          </w:p>
        </w:tc>
        <w:tc>
          <w:tcPr>
            <w:tcW w:w="2835" w:type="dxa"/>
            <w:vAlign w:val="center"/>
          </w:tcPr>
          <w:p>
            <w:pPr>
              <w:keepNext w:val="0"/>
              <w:keepLines w:val="0"/>
              <w:pageBreakBefore w:val="0"/>
              <w:widowControl w:val="0"/>
              <w:kinsoku/>
              <w:wordWrap/>
              <w:overflowPunct/>
              <w:topLinePunct w:val="0"/>
              <w:autoSpaceDE/>
              <w:autoSpaceDN/>
              <w:bidi w:val="0"/>
              <w:adjustRightInd/>
              <w:spacing w:line="36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 企、事业单位与专业合作育人，每年有共同开发课程、共同开发教材、合作申报科研项目等；</w:t>
            </w:r>
          </w:p>
          <w:p>
            <w:pPr>
              <w:keepNext w:val="0"/>
              <w:keepLines w:val="0"/>
              <w:pageBreakBefore w:val="0"/>
              <w:widowControl w:val="0"/>
              <w:kinsoku/>
              <w:wordWrap/>
              <w:overflowPunct/>
              <w:topLinePunct w:val="0"/>
              <w:autoSpaceDE/>
              <w:autoSpaceDN/>
              <w:bidi w:val="0"/>
              <w:adjustRightInd/>
              <w:spacing w:line="36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2.有深度合作的企业，校企合作体制、机制运行良好；</w:t>
            </w:r>
          </w:p>
          <w:p>
            <w:pPr>
              <w:keepNext w:val="0"/>
              <w:keepLines w:val="0"/>
              <w:pageBreakBefore w:val="0"/>
              <w:widowControl w:val="0"/>
              <w:kinsoku/>
              <w:wordWrap/>
              <w:overflowPunct/>
              <w:topLinePunct w:val="0"/>
              <w:autoSpaceDE/>
              <w:autoSpaceDN/>
              <w:bidi w:val="0"/>
              <w:adjustRightInd/>
              <w:spacing w:line="36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3.近3年合作单位对本专业均有资金、设备、场地等各种形式的投入；</w:t>
            </w:r>
          </w:p>
          <w:p>
            <w:pPr>
              <w:keepNext w:val="0"/>
              <w:keepLines w:val="0"/>
              <w:pageBreakBefore w:val="0"/>
              <w:widowControl w:val="0"/>
              <w:kinsoku/>
              <w:wordWrap/>
              <w:overflowPunct/>
              <w:topLinePunct w:val="0"/>
              <w:autoSpaceDE/>
              <w:autoSpaceDN/>
              <w:bidi w:val="0"/>
              <w:adjustRightInd/>
              <w:spacing w:line="36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4.共建“校中厂”、“厂中校”等多元主体共建实践教学基地有成效。</w:t>
            </w:r>
          </w:p>
        </w:tc>
        <w:tc>
          <w:tcPr>
            <w:tcW w:w="4252" w:type="dxa"/>
            <w:vAlign w:val="center"/>
          </w:tcPr>
          <w:p>
            <w:pPr>
              <w:keepNext w:val="0"/>
              <w:keepLines w:val="0"/>
              <w:pageBreakBefore w:val="0"/>
              <w:widowControl w:val="0"/>
              <w:kinsoku/>
              <w:wordWrap/>
              <w:overflowPunct/>
              <w:topLinePunct w:val="0"/>
              <w:autoSpaceDE/>
              <w:autoSpaceDN/>
              <w:bidi w:val="0"/>
              <w:adjustRightInd/>
              <w:spacing w:line="36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专业有稳定的，数量满足人才培养的合作企业，建立健全与企业共建专业机制，发挥企业重要办学主体作用，校企共同编制专业建设规划，共同制定专业人才培养方案，共同开发课程教材，推动企业需求融入人才培养全过程；</w:t>
            </w:r>
          </w:p>
          <w:p>
            <w:pPr>
              <w:keepNext w:val="0"/>
              <w:keepLines w:val="0"/>
              <w:pageBreakBefore w:val="0"/>
              <w:widowControl w:val="0"/>
              <w:kinsoku/>
              <w:wordWrap/>
              <w:overflowPunct/>
              <w:topLinePunct w:val="0"/>
              <w:autoSpaceDE/>
              <w:autoSpaceDN/>
              <w:bidi w:val="0"/>
              <w:adjustRightInd/>
              <w:spacing w:line="36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2.推进校企双主体育人技术技能人才培养模式改革和现代学徒制，形成校企联合招生、联合培养、协同育人的长效机制；</w:t>
            </w:r>
          </w:p>
          <w:p>
            <w:pPr>
              <w:keepNext w:val="0"/>
              <w:keepLines w:val="0"/>
              <w:pageBreakBefore w:val="0"/>
              <w:widowControl w:val="0"/>
              <w:shd w:val="clear" w:color="auto" w:fill="FFFFFF"/>
              <w:kinsoku/>
              <w:wordWrap/>
              <w:overflowPunct/>
              <w:topLinePunct w:val="0"/>
              <w:autoSpaceDE/>
              <w:autoSpaceDN/>
              <w:bidi w:val="0"/>
              <w:adjustRightInd/>
              <w:spacing w:line="360" w:lineRule="exact"/>
              <w:jc w:val="left"/>
              <w:textAlignment w:val="baseline"/>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3.校企合作全面深入，行业、企业承担人才培养任务明确，在招生、就业、教学模式、课程体系、实践环节、教学运行、管理机制和教学组织形式等多方面与企业进行紧密合作;</w:t>
            </w:r>
          </w:p>
          <w:p>
            <w:pPr>
              <w:keepNext w:val="0"/>
              <w:keepLines w:val="0"/>
              <w:pageBreakBefore w:val="0"/>
              <w:widowControl w:val="0"/>
              <w:shd w:val="clear" w:color="auto" w:fill="FFFFFF"/>
              <w:kinsoku/>
              <w:wordWrap/>
              <w:overflowPunct/>
              <w:topLinePunct w:val="0"/>
              <w:autoSpaceDE/>
              <w:autoSpaceDN/>
              <w:bidi w:val="0"/>
              <w:adjustRightInd/>
              <w:spacing w:line="360" w:lineRule="exact"/>
              <w:jc w:val="left"/>
              <w:textAlignment w:val="baseline"/>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4.与知名行业企业建立产教联盟，共同开发专业标准、课程标准和人才质量标准;优选业内领先企业开展现代学徒制培养、企业新型学徒制和“订单式”联合培养等，探索工学结合的教学组织形式。</w:t>
            </w:r>
          </w:p>
          <w:p>
            <w:pPr>
              <w:keepNext w:val="0"/>
              <w:keepLines w:val="0"/>
              <w:pageBreakBefore w:val="0"/>
              <w:widowControl w:val="0"/>
              <w:shd w:val="clear" w:color="auto" w:fill="FFFFFF"/>
              <w:kinsoku/>
              <w:wordWrap/>
              <w:overflowPunct/>
              <w:topLinePunct w:val="0"/>
              <w:autoSpaceDE/>
              <w:autoSpaceDN/>
              <w:bidi w:val="0"/>
              <w:adjustRightInd/>
              <w:spacing w:line="360" w:lineRule="exact"/>
              <w:jc w:val="left"/>
              <w:textAlignment w:val="baseline"/>
              <w:rPr>
                <w:rFonts w:hint="eastAsia" w:ascii="仿宋" w:hAnsi="仿宋" w:eastAsia="仿宋" w:cs="仿宋"/>
                <w:snapToGrid w:val="0"/>
                <w:kern w:val="0"/>
                <w:sz w:val="24"/>
                <w:highlight w:val="none"/>
              </w:rPr>
            </w:pPr>
          </w:p>
        </w:tc>
        <w:tc>
          <w:tcPr>
            <w:tcW w:w="5514"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8.1.1开展实质合作的按合作项目归类的校企合作企业一览表，列出具体合作项目；</w:t>
            </w:r>
          </w:p>
          <w:p>
            <w:pPr>
              <w:keepNext w:val="0"/>
              <w:keepLines w:val="0"/>
              <w:pageBreakBefore w:val="0"/>
              <w:widowControl w:val="0"/>
              <w:kinsoku/>
              <w:wordWrap/>
              <w:overflowPunct/>
              <w:topLinePunct w:val="0"/>
              <w:autoSpaceDE/>
              <w:autoSpaceDN/>
              <w:bidi w:val="0"/>
              <w:adjustRightInd/>
              <w:snapToGrid w:val="0"/>
              <w:spacing w:line="36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8.1.2校企合作开发课程、教材、合作申报教科研项目一览表及佐证材料；</w:t>
            </w:r>
          </w:p>
          <w:p>
            <w:pPr>
              <w:keepNext w:val="0"/>
              <w:keepLines w:val="0"/>
              <w:pageBreakBefore w:val="0"/>
              <w:widowControl w:val="0"/>
              <w:kinsoku/>
              <w:wordWrap/>
              <w:overflowPunct/>
              <w:topLinePunct w:val="0"/>
              <w:autoSpaceDE/>
              <w:autoSpaceDN/>
              <w:bidi w:val="0"/>
              <w:adjustRightInd/>
              <w:snapToGrid w:val="0"/>
              <w:spacing w:line="36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8.1.3近3年校企合作企业投入情况一览表；</w:t>
            </w:r>
          </w:p>
          <w:p>
            <w:pPr>
              <w:keepNext w:val="0"/>
              <w:keepLines w:val="0"/>
              <w:pageBreakBefore w:val="0"/>
              <w:widowControl w:val="0"/>
              <w:kinsoku/>
              <w:wordWrap/>
              <w:overflowPunct/>
              <w:topLinePunct w:val="0"/>
              <w:autoSpaceDE/>
              <w:autoSpaceDN/>
              <w:bidi w:val="0"/>
              <w:adjustRightInd/>
              <w:snapToGrid w:val="0"/>
              <w:spacing w:line="36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8.1.4共建“校中厂”、“厂中校”等多元主体共建实践教学基地材料；</w:t>
            </w:r>
          </w:p>
          <w:p>
            <w:pPr>
              <w:keepNext w:val="0"/>
              <w:keepLines w:val="0"/>
              <w:pageBreakBefore w:val="0"/>
              <w:widowControl w:val="0"/>
              <w:kinsoku/>
              <w:wordWrap/>
              <w:overflowPunct/>
              <w:topLinePunct w:val="0"/>
              <w:autoSpaceDE/>
              <w:autoSpaceDN/>
              <w:bidi w:val="0"/>
              <w:adjustRightInd/>
              <w:snapToGrid w:val="0"/>
              <w:spacing w:line="36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8.1.5校企合作开展人才培养模式改革、校企专业共建、人才共育、过程共管、资源共享、责任共担、合作就业等校企合作模式分类统计及佐证材料；</w:t>
            </w:r>
          </w:p>
          <w:p>
            <w:pPr>
              <w:keepNext w:val="0"/>
              <w:keepLines w:val="0"/>
              <w:pageBreakBefore w:val="0"/>
              <w:widowControl w:val="0"/>
              <w:kinsoku/>
              <w:wordWrap/>
              <w:overflowPunct/>
              <w:topLinePunct w:val="0"/>
              <w:autoSpaceDE/>
              <w:autoSpaceDN/>
              <w:bidi w:val="0"/>
              <w:adjustRightInd/>
              <w:snapToGrid w:val="0"/>
              <w:spacing w:line="36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8.1.6产教融合、校企合作模式总结及典型运行材料；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5" w:hRule="atLeast"/>
          <w:jc w:val="center"/>
        </w:trPr>
        <w:tc>
          <w:tcPr>
            <w:tcW w:w="850" w:type="dxa"/>
            <w:vMerge w:val="continue"/>
            <w:vAlign w:val="center"/>
          </w:tcPr>
          <w:p>
            <w:pPr>
              <w:spacing w:line="240" w:lineRule="atLeast"/>
              <w:jc w:val="left"/>
              <w:rPr>
                <w:rFonts w:hint="eastAsia" w:ascii="仿宋" w:hAnsi="仿宋" w:eastAsia="仿宋" w:cs="仿宋"/>
                <w:b/>
                <w:szCs w:val="21"/>
                <w:highlight w:val="none"/>
              </w:rPr>
            </w:pPr>
          </w:p>
        </w:tc>
        <w:tc>
          <w:tcPr>
            <w:tcW w:w="993" w:type="dxa"/>
            <w:vAlign w:val="center"/>
          </w:tcPr>
          <w:p>
            <w:pPr>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8.2 社会服务（6分）</w:t>
            </w:r>
          </w:p>
        </w:tc>
        <w:tc>
          <w:tcPr>
            <w:tcW w:w="2835" w:type="dxa"/>
            <w:vAlign w:val="center"/>
          </w:tcPr>
          <w:p>
            <w:pPr>
              <w:spacing w:line="240" w:lineRule="atLeas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1.面向社会、行业、企业（医院）进行各种技术技能培训，培训人次达专业当年招生人数的0.5倍以上，培训合格率95%以上；</w:t>
            </w:r>
          </w:p>
          <w:p>
            <w:pPr>
              <w:spacing w:line="240" w:lineRule="atLeas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2.专业教师参与企业（医院）技术革新，有横向课题；</w:t>
            </w:r>
          </w:p>
          <w:p>
            <w:pPr>
              <w:spacing w:line="240" w:lineRule="atLeas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3.教师有为地方政府、行企业等提供政策咨询；</w:t>
            </w:r>
          </w:p>
          <w:p>
            <w:pPr>
              <w:spacing w:line="320" w:lineRule="exac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4.面向社会开展继续教育。</w:t>
            </w:r>
          </w:p>
        </w:tc>
        <w:tc>
          <w:tcPr>
            <w:tcW w:w="4252" w:type="dxa"/>
            <w:vAlign w:val="center"/>
          </w:tcPr>
          <w:p>
            <w:pPr>
              <w:spacing w:line="240" w:lineRule="atLeas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1.面向社会开展多种形式的社会培训，培训和鉴定人次达到专业当年招生人数的1倍以上;继续教育招生规模达到年普通招生规模的1/2以上;有省级以上职业教育师资培训基地，并开展职业教育师资培训；</w:t>
            </w:r>
          </w:p>
          <w:p>
            <w:pPr>
              <w:spacing w:line="240" w:lineRule="atLeas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2.协助企业解决技术难题，开展技术服务与行业企业深入合作，开展科技研发应用工作，有一定数量的纵向教科研项目;横向项目数、到账经费逐年增长；</w:t>
            </w:r>
          </w:p>
          <w:p>
            <w:pPr>
              <w:spacing w:line="240" w:lineRule="atLeas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3.专业教师获得一定数量专利，专利转化率高； </w:t>
            </w:r>
          </w:p>
          <w:p>
            <w:pPr>
              <w:spacing w:line="240" w:lineRule="atLeas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4.发挥专业群资源优势，与行业企业共建职工培训中心，面向企业员工、新型职业农民、退役军人、就业重点人群等开展岗位培训、技能提升培训和就业创业培训，为人力资源开发和就业服务；</w:t>
            </w:r>
          </w:p>
        </w:tc>
        <w:tc>
          <w:tcPr>
            <w:tcW w:w="5514" w:type="dxa"/>
            <w:vAlign w:val="center"/>
          </w:tcPr>
          <w:p>
            <w:pPr>
              <w:snapToGrid w:val="0"/>
              <w:spacing w:line="280" w:lineRule="exac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8.2.1近三年分年度开展各类社会培训项目、培训人数统计表及相关材料；</w:t>
            </w:r>
          </w:p>
          <w:p>
            <w:pPr>
              <w:snapToGrid w:val="0"/>
              <w:spacing w:line="280" w:lineRule="exac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8.2.2近三年分年度开展成人学历教育、继续教育项目、人数统计表及相关材料；</w:t>
            </w:r>
          </w:p>
          <w:p>
            <w:pPr>
              <w:snapToGrid w:val="0"/>
              <w:spacing w:line="280" w:lineRule="exac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8.2.3为社会、行业、企业服务机构名称、证书、服务范围与实施社会服务的总结报告；</w:t>
            </w:r>
          </w:p>
          <w:p>
            <w:pPr>
              <w:snapToGrid w:val="0"/>
              <w:spacing w:line="280" w:lineRule="exac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8.2.4职业技能鉴定站（所）对应工种为社会开展职业技能鉴定情况；</w:t>
            </w:r>
          </w:p>
          <w:p>
            <w:pPr>
              <w:snapToGrid w:val="0"/>
              <w:spacing w:line="280" w:lineRule="exac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8.2.5近三年为校企合作的企业提供多样化员工培训资料；</w:t>
            </w:r>
          </w:p>
          <w:p>
            <w:pPr>
              <w:snapToGrid w:val="0"/>
              <w:spacing w:line="280" w:lineRule="exac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8.2.6为校企合作的企业提供技术服务资料，专业教师横向课题项目资料；</w:t>
            </w:r>
          </w:p>
          <w:p>
            <w:pPr>
              <w:snapToGrid w:val="0"/>
              <w:spacing w:line="280" w:lineRule="exac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8.2.7专业开展社会公益项目（开设社区课程、对口帮扶项目、乡村振兴、专业服务等）统计汇总表及佐证材料；</w:t>
            </w:r>
          </w:p>
          <w:p>
            <w:pPr>
              <w:snapToGrid w:val="0"/>
              <w:spacing w:line="280" w:lineRule="exac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8.2.8专业教师为政府、行业、企业、社团进行政策咨询项目汇总及佐证资料；</w:t>
            </w:r>
          </w:p>
          <w:p>
            <w:pPr>
              <w:snapToGrid w:val="0"/>
              <w:spacing w:line="280" w:lineRule="exac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8.2.9专业教师技术服务、纵、横向科研项目、专利统计表；</w:t>
            </w:r>
          </w:p>
          <w:p>
            <w:pPr>
              <w:snapToGrid w:val="0"/>
              <w:spacing w:line="280" w:lineRule="exac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8.2.10近三年相关社会服务项目收入的财务统计报表，纵、横向科研到账经费统计表；</w:t>
            </w:r>
          </w:p>
          <w:p>
            <w:pPr>
              <w:snapToGrid w:val="0"/>
              <w:spacing w:line="280" w:lineRule="exac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8.2.11科研成果、专利转化情况统计表；</w:t>
            </w:r>
          </w:p>
          <w:p>
            <w:pPr>
              <w:snapToGrid w:val="0"/>
              <w:spacing w:line="280" w:lineRule="exact"/>
              <w:jc w:val="both"/>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8.2.12将社会服务成果转化为教学内容服务学生学习成效持续提高的材料。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850" w:type="dxa"/>
            <w:vMerge w:val="restart"/>
            <w:vAlign w:val="center"/>
          </w:tcPr>
          <w:p>
            <w:pPr>
              <w:spacing w:line="320" w:lineRule="exact"/>
              <w:jc w:val="center"/>
              <w:rPr>
                <w:rFonts w:hint="eastAsia" w:ascii="仿宋" w:hAnsi="仿宋" w:eastAsia="仿宋" w:cs="仿宋"/>
                <w:b/>
                <w:szCs w:val="21"/>
                <w:highlight w:val="none"/>
              </w:rPr>
            </w:pPr>
            <w:r>
              <w:rPr>
                <w:rFonts w:hint="eastAsia" w:ascii="仿宋" w:hAnsi="仿宋" w:eastAsia="仿宋" w:cs="仿宋"/>
                <w:b/>
                <w:sz w:val="24"/>
                <w:highlight w:val="none"/>
              </w:rPr>
              <w:t xml:space="preserve">9.社会评价与特色创新(10分)    </w:t>
            </w:r>
            <w:r>
              <w:rPr>
                <w:rFonts w:hint="eastAsia" w:ascii="仿宋" w:hAnsi="仿宋" w:eastAsia="仿宋" w:cs="仿宋"/>
                <w:b/>
                <w:szCs w:val="21"/>
                <w:highlight w:val="none"/>
              </w:rPr>
              <w:t xml:space="preserve">                                                                                      </w:t>
            </w:r>
          </w:p>
        </w:tc>
        <w:tc>
          <w:tcPr>
            <w:tcW w:w="993" w:type="dxa"/>
            <w:vAlign w:val="center"/>
          </w:tcPr>
          <w:p>
            <w:pPr>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9.1专业竞争力（3分）</w:t>
            </w:r>
          </w:p>
        </w:tc>
        <w:tc>
          <w:tcPr>
            <w:tcW w:w="2835" w:type="dxa"/>
          </w:tcPr>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1.分析专业在区域分布、行业特征、办学模式等方面有着合理的选择；</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2.本专业与区域同类院校相比有特色或优势。</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3.有可信的数据来源和翔实的比较分析，有明确的分析结果。</w:t>
            </w:r>
          </w:p>
        </w:tc>
        <w:tc>
          <w:tcPr>
            <w:tcW w:w="4252" w:type="dxa"/>
          </w:tcPr>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1.在行业和区域内有较强的影响力，形成了良好品牌;</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2.办学成绩获媒体宣传和报道;有省级以上标志性成果、荣誉及项目;</w:t>
            </w:r>
          </w:p>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3.构建完善的内部质量保证体系，持续开展专业教学质量诊断与改进工作</w:t>
            </w:r>
            <w:r>
              <w:rPr>
                <w:rFonts w:hint="eastAsia" w:ascii="仿宋" w:hAnsi="仿宋" w:eastAsia="仿宋" w:cs="仿宋"/>
                <w:color w:val="333333"/>
                <w:spacing w:val="15"/>
                <w:kern w:val="0"/>
                <w:sz w:val="27"/>
                <w:szCs w:val="27"/>
                <w:highlight w:val="none"/>
              </w:rPr>
              <w:t>。</w:t>
            </w:r>
          </w:p>
        </w:tc>
        <w:tc>
          <w:tcPr>
            <w:tcW w:w="5514" w:type="dxa"/>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9.1.1专业竞争力分析论证报告；</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9.1.2体现专业竞争力的佐证材料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9.1.3专业获得的各级荣誉、标志性成果、媒体宣传报道总结及相关资料；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9.1.4杰出校友列表及相关的媒体报道；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850" w:type="dxa"/>
            <w:vMerge w:val="continue"/>
            <w:vAlign w:val="center"/>
          </w:tcPr>
          <w:p>
            <w:pPr>
              <w:spacing w:line="240" w:lineRule="atLeast"/>
              <w:jc w:val="left"/>
              <w:rPr>
                <w:rFonts w:hint="eastAsia" w:ascii="仿宋" w:hAnsi="仿宋" w:eastAsia="仿宋" w:cs="仿宋"/>
                <w:snapToGrid w:val="0"/>
                <w:kern w:val="0"/>
                <w:sz w:val="24"/>
                <w:highlight w:val="none"/>
              </w:rPr>
            </w:pPr>
          </w:p>
        </w:tc>
        <w:tc>
          <w:tcPr>
            <w:tcW w:w="993" w:type="dxa"/>
            <w:vAlign w:val="center"/>
          </w:tcPr>
          <w:p>
            <w:pPr>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9.2 专业招生（2分）</w:t>
            </w:r>
          </w:p>
        </w:tc>
        <w:tc>
          <w:tcPr>
            <w:tcW w:w="2835" w:type="dxa"/>
          </w:tcPr>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 xml:space="preserve">招生数符合要求，计划完成100%，实际报到率高于学校平均水平。 </w:t>
            </w:r>
          </w:p>
        </w:tc>
        <w:tc>
          <w:tcPr>
            <w:tcW w:w="4252" w:type="dxa"/>
          </w:tcPr>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专业招生保持一定的招生规模，生源质量较好；招生计划完成100%，按计划数报到率≥98%，</w:t>
            </w:r>
          </w:p>
          <w:p>
            <w:pPr>
              <w:spacing w:line="320" w:lineRule="exact"/>
              <w:rPr>
                <w:rFonts w:hint="eastAsia" w:ascii="仿宋" w:hAnsi="仿宋" w:eastAsia="仿宋" w:cs="仿宋"/>
                <w:snapToGrid w:val="0"/>
                <w:kern w:val="0"/>
                <w:sz w:val="24"/>
                <w:highlight w:val="none"/>
              </w:rPr>
            </w:pPr>
          </w:p>
        </w:tc>
        <w:tc>
          <w:tcPr>
            <w:tcW w:w="5514" w:type="dxa"/>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9.2.1专业的招生计划、录取人数、录取分数分布情况、报到人数统计表；</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9.2.2近三年学校招生报到率、招生计划完成率平均值、分专业录取分数统计。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 w:hRule="atLeast"/>
          <w:jc w:val="center"/>
        </w:trPr>
        <w:tc>
          <w:tcPr>
            <w:tcW w:w="850" w:type="dxa"/>
            <w:vMerge w:val="continue"/>
            <w:tcBorders>
              <w:bottom w:val="single" w:color="auto" w:sz="12" w:space="0"/>
            </w:tcBorders>
            <w:vAlign w:val="center"/>
          </w:tcPr>
          <w:p>
            <w:pPr>
              <w:spacing w:line="240" w:lineRule="atLeast"/>
              <w:jc w:val="left"/>
              <w:rPr>
                <w:rFonts w:hint="eastAsia" w:ascii="仿宋" w:hAnsi="仿宋" w:eastAsia="仿宋" w:cs="仿宋"/>
                <w:snapToGrid w:val="0"/>
                <w:kern w:val="0"/>
                <w:sz w:val="24"/>
                <w:highlight w:val="none"/>
              </w:rPr>
            </w:pPr>
          </w:p>
        </w:tc>
        <w:tc>
          <w:tcPr>
            <w:tcW w:w="993" w:type="dxa"/>
            <w:tcBorders>
              <w:bottom w:val="single" w:color="auto" w:sz="12" w:space="0"/>
            </w:tcBorders>
            <w:vAlign w:val="center"/>
          </w:tcPr>
          <w:p>
            <w:pPr>
              <w:spacing w:line="240" w:lineRule="atLeast"/>
              <w:jc w:val="left"/>
              <w:rPr>
                <w:rFonts w:hint="eastAsia" w:ascii="仿宋" w:hAnsi="仿宋" w:eastAsia="仿宋" w:cs="仿宋"/>
                <w:b/>
                <w:bCs/>
                <w:snapToGrid w:val="0"/>
                <w:kern w:val="0"/>
                <w:sz w:val="24"/>
                <w:highlight w:val="none"/>
              </w:rPr>
            </w:pPr>
            <w:r>
              <w:rPr>
                <w:rFonts w:hint="eastAsia" w:ascii="仿宋" w:hAnsi="仿宋" w:eastAsia="仿宋" w:cs="仿宋"/>
                <w:b/>
                <w:bCs/>
                <w:snapToGrid w:val="0"/>
                <w:kern w:val="0"/>
                <w:sz w:val="24"/>
                <w:highlight w:val="none"/>
              </w:rPr>
              <w:t>9.3 特色创新（5分）</w:t>
            </w:r>
          </w:p>
        </w:tc>
        <w:tc>
          <w:tcPr>
            <w:tcW w:w="2835" w:type="dxa"/>
            <w:tcBorders>
              <w:bottom w:val="single" w:color="auto" w:sz="12" w:space="0"/>
            </w:tcBorders>
          </w:tcPr>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专业建设成果示范辐射作用成效显著。在校企合作、教学团队建设、立德树人、工学结合人才培养模式改革、课程建设、教学模式改革、实践教学、社会服务、闽台、国际（境外）交流等方面有本专业特有的、在学校和社会上有一定影响，得到公认的项目，发挥带头和示范作用。对优化人才培养过程、提高人才培养质量、提升服务区域社会经济发展有较大作用。</w:t>
            </w:r>
          </w:p>
        </w:tc>
        <w:tc>
          <w:tcPr>
            <w:tcW w:w="4252" w:type="dxa"/>
            <w:tcBorders>
              <w:bottom w:val="single" w:color="auto" w:sz="12" w:space="0"/>
            </w:tcBorders>
          </w:tcPr>
          <w:p>
            <w:pPr>
              <w:spacing w:line="320" w:lineRule="exac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专业发展对接行业优势明显、特色鲜明，对区域产业和社会发展急需人才的培养贡献度大，能服务区域经济转型、产业升级需求;在校企深度合作、教学团队建设、立德树人、工学结合人才培养模式改革、课程建设、教学模式改革、实践教学、社会服务、闽台、国际（境外）交流、社会培训、技术创新、专业对口帮扶、服务闽东北、闽西南协同发展区建设和乡村振兴战略等方面工作成效显著，有特色创新，引领区域、行业、学校的专业发展，发挥示范辐射作用。</w:t>
            </w:r>
          </w:p>
        </w:tc>
        <w:tc>
          <w:tcPr>
            <w:tcW w:w="5514" w:type="dxa"/>
            <w:tcBorders>
              <w:bottom w:val="single" w:color="auto" w:sz="12" w:space="0"/>
            </w:tcBorders>
          </w:tcPr>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9.3.1提炼不超过5项体现专业建设特色的典型项目案例的专业特色创新总结论证报告；</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9.3.2反映特色创新项目的省内同类学校相关工作成果排序或获奖的原始资料；</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9.3.3特色创新项目建设成果展示；</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9.3.4现场专业剖析；</w:t>
            </w:r>
          </w:p>
          <w:p>
            <w:pPr>
              <w:snapToGrid w:val="0"/>
              <w:spacing w:line="280" w:lineRule="exact"/>
              <w:jc w:val="left"/>
              <w:rPr>
                <w:rFonts w:hint="eastAsia" w:ascii="仿宋" w:hAnsi="仿宋" w:eastAsia="仿宋" w:cs="仿宋"/>
                <w:snapToGrid w:val="0"/>
                <w:kern w:val="0"/>
                <w:sz w:val="24"/>
                <w:highlight w:val="none"/>
              </w:rPr>
            </w:pPr>
            <w:r>
              <w:rPr>
                <w:rFonts w:hint="eastAsia" w:ascii="仿宋" w:hAnsi="仿宋" w:eastAsia="仿宋" w:cs="仿宋"/>
                <w:snapToGrid w:val="0"/>
                <w:kern w:val="0"/>
                <w:sz w:val="24"/>
                <w:highlight w:val="none"/>
              </w:rPr>
              <w:t>9.3.5专业特色创新建设与发展的规划思路。</w:t>
            </w:r>
          </w:p>
        </w:tc>
      </w:tr>
    </w:tbl>
    <w:p>
      <w:pPr>
        <w:rPr>
          <w:rFonts w:ascii="仿宋" w:hAnsi="仿宋" w:eastAsia="仿宋"/>
          <w:sz w:val="32"/>
          <w:szCs w:val="32"/>
        </w:rPr>
      </w:pPr>
    </w:p>
    <w:p>
      <w:pPr>
        <w:widowControl/>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备注：</w:t>
      </w:r>
    </w:p>
    <w:p>
      <w:pPr>
        <w:widowControl/>
        <w:adjustRightInd w:val="0"/>
        <w:snapToGrid w:val="0"/>
        <w:ind w:firstLine="960" w:firstLineChars="400"/>
        <w:jc w:val="left"/>
        <w:rPr>
          <w:rFonts w:hint="eastAsia" w:ascii="仿宋" w:hAnsi="仿宋" w:eastAsia="仿宋" w:cs="仿宋"/>
          <w:kern w:val="0"/>
          <w:sz w:val="24"/>
        </w:rPr>
      </w:pPr>
      <w:r>
        <w:rPr>
          <w:rFonts w:hint="eastAsia" w:ascii="仿宋" w:hAnsi="仿宋" w:eastAsia="仿宋" w:cs="仿宋"/>
          <w:kern w:val="0"/>
          <w:sz w:val="24"/>
        </w:rPr>
        <w:t>1.国家或行业有专业认证、专业建设标准的按国家或行业标准实施；</w:t>
      </w:r>
    </w:p>
    <w:p>
      <w:pPr>
        <w:widowControl/>
        <w:adjustRightInd w:val="0"/>
        <w:snapToGrid w:val="0"/>
        <w:ind w:firstLine="960" w:firstLineChars="400"/>
        <w:jc w:val="left"/>
        <w:rPr>
          <w:rFonts w:hint="eastAsia" w:ascii="仿宋" w:hAnsi="仿宋" w:eastAsia="仿宋" w:cs="仿宋"/>
          <w:kern w:val="0"/>
          <w:sz w:val="24"/>
        </w:rPr>
      </w:pPr>
      <w:r>
        <w:rPr>
          <w:rFonts w:hint="eastAsia" w:ascii="仿宋" w:hAnsi="仿宋" w:eastAsia="仿宋" w:cs="仿宋"/>
          <w:kern w:val="0"/>
          <w:sz w:val="24"/>
        </w:rPr>
        <w:t>2.专业建设根据与专业建设标准的达成度分四个等级：优秀、良好、合格、不合格；</w:t>
      </w:r>
    </w:p>
    <w:p>
      <w:pPr>
        <w:widowControl/>
        <w:adjustRightInd w:val="0"/>
        <w:snapToGrid w:val="0"/>
        <w:ind w:firstLine="960" w:firstLineChars="400"/>
        <w:jc w:val="left"/>
        <w:rPr>
          <w:rFonts w:hint="eastAsia" w:ascii="仿宋" w:hAnsi="仿宋" w:eastAsia="仿宋" w:cs="仿宋"/>
          <w:kern w:val="0"/>
          <w:sz w:val="24"/>
        </w:rPr>
      </w:pPr>
      <w:r>
        <w:rPr>
          <w:rFonts w:hint="eastAsia" w:ascii="仿宋" w:hAnsi="仿宋" w:eastAsia="仿宋" w:cs="仿宋"/>
          <w:kern w:val="0"/>
          <w:sz w:val="24"/>
        </w:rPr>
        <w:t>3.专业建设标准指标体系总共有二级指标</w:t>
      </w:r>
      <w:r>
        <w:rPr>
          <w:rFonts w:hint="eastAsia" w:ascii="仿宋" w:hAnsi="仿宋" w:eastAsia="仿宋" w:cs="仿宋"/>
          <w:kern w:val="0"/>
          <w:sz w:val="24"/>
          <w:lang w:val="en-US" w:eastAsia="zh-CN"/>
        </w:rPr>
        <w:t>28</w:t>
      </w:r>
      <w:r>
        <w:rPr>
          <w:rFonts w:hint="eastAsia" w:ascii="仿宋" w:hAnsi="仿宋" w:eastAsia="仿宋" w:cs="仿宋"/>
          <w:kern w:val="0"/>
          <w:sz w:val="24"/>
        </w:rPr>
        <w:t>项，建设诊断与改进结论的等级标准为：</w:t>
      </w:r>
    </w:p>
    <w:p>
      <w:pPr>
        <w:widowControl/>
        <w:adjustRightInd w:val="0"/>
        <w:snapToGrid w:val="0"/>
        <w:ind w:firstLine="960" w:firstLineChars="400"/>
        <w:jc w:val="left"/>
        <w:rPr>
          <w:rFonts w:hint="eastAsia" w:ascii="仿宋" w:hAnsi="仿宋" w:eastAsia="仿宋" w:cs="仿宋"/>
          <w:kern w:val="0"/>
          <w:sz w:val="24"/>
        </w:rPr>
      </w:pPr>
      <w:r>
        <w:rPr>
          <w:rFonts w:hint="eastAsia" w:ascii="仿宋" w:hAnsi="仿宋" w:eastAsia="仿宋" w:cs="仿宋"/>
          <w:kern w:val="0"/>
          <w:sz w:val="24"/>
        </w:rPr>
        <w:t>（1）优秀：总分≥90分；</w:t>
      </w:r>
    </w:p>
    <w:p>
      <w:pPr>
        <w:widowControl/>
        <w:adjustRightInd w:val="0"/>
        <w:snapToGrid w:val="0"/>
        <w:ind w:firstLine="960" w:firstLineChars="400"/>
        <w:jc w:val="left"/>
        <w:rPr>
          <w:rFonts w:hint="eastAsia" w:ascii="仿宋" w:hAnsi="仿宋" w:eastAsia="仿宋" w:cs="仿宋"/>
          <w:kern w:val="0"/>
          <w:sz w:val="24"/>
        </w:rPr>
      </w:pPr>
      <w:r>
        <w:rPr>
          <w:rFonts w:hint="eastAsia" w:ascii="仿宋" w:hAnsi="仿宋" w:eastAsia="仿宋" w:cs="仿宋"/>
          <w:kern w:val="0"/>
          <w:sz w:val="24"/>
        </w:rPr>
        <w:t xml:space="preserve">（2）良好：80分≤总分＜90分； </w:t>
      </w:r>
    </w:p>
    <w:p>
      <w:pPr>
        <w:widowControl/>
        <w:adjustRightInd w:val="0"/>
        <w:snapToGrid w:val="0"/>
        <w:ind w:firstLine="960" w:firstLineChars="400"/>
        <w:jc w:val="left"/>
        <w:rPr>
          <w:rFonts w:hint="eastAsia" w:ascii="仿宋" w:hAnsi="仿宋" w:eastAsia="仿宋" w:cs="仿宋"/>
          <w:kern w:val="0"/>
          <w:sz w:val="24"/>
        </w:rPr>
      </w:pPr>
      <w:r>
        <w:rPr>
          <w:rFonts w:hint="eastAsia" w:ascii="仿宋" w:hAnsi="仿宋" w:eastAsia="仿宋" w:cs="仿宋"/>
          <w:kern w:val="0"/>
          <w:sz w:val="24"/>
        </w:rPr>
        <w:t xml:space="preserve">（3）合格：70分≤总分＜80分； </w:t>
      </w:r>
    </w:p>
    <w:p>
      <w:pPr>
        <w:ind w:firstLine="960" w:firstLineChars="400"/>
        <w:rPr>
          <w:rFonts w:hint="eastAsia" w:ascii="仿宋" w:hAnsi="仿宋" w:eastAsia="仿宋" w:cs="仿宋"/>
        </w:rPr>
      </w:pPr>
      <w:r>
        <w:rPr>
          <w:rFonts w:hint="eastAsia" w:ascii="仿宋" w:hAnsi="仿宋" w:eastAsia="仿宋" w:cs="仿宋"/>
          <w:kern w:val="0"/>
          <w:sz w:val="24"/>
        </w:rPr>
        <w:t>（4）不合格：不满足“合格”等级的即为不合格。</w:t>
      </w:r>
    </w:p>
    <w:sectPr>
      <w:footerReference r:id="rId3" w:type="default"/>
      <w:pgSz w:w="16838" w:h="11906" w:orient="landscape"/>
      <w:pgMar w:top="851" w:right="851" w:bottom="567"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0133444"/>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hYWI1ODU5NWMzODg5NzMxNzk0NDRjYTYyZGQ3MjEifQ=="/>
  </w:docVars>
  <w:rsids>
    <w:rsidRoot w:val="00302649"/>
    <w:rsid w:val="000035A9"/>
    <w:rsid w:val="00004B54"/>
    <w:rsid w:val="000246F7"/>
    <w:rsid w:val="00054B25"/>
    <w:rsid w:val="00056C58"/>
    <w:rsid w:val="000805CB"/>
    <w:rsid w:val="00090707"/>
    <w:rsid w:val="00092275"/>
    <w:rsid w:val="00093C05"/>
    <w:rsid w:val="00096A42"/>
    <w:rsid w:val="00096C2A"/>
    <w:rsid w:val="000A1CD2"/>
    <w:rsid w:val="000A4F16"/>
    <w:rsid w:val="000A606A"/>
    <w:rsid w:val="000D51BF"/>
    <w:rsid w:val="000E3D94"/>
    <w:rsid w:val="000F4BD1"/>
    <w:rsid w:val="00112C36"/>
    <w:rsid w:val="00113157"/>
    <w:rsid w:val="00127AC0"/>
    <w:rsid w:val="00155E50"/>
    <w:rsid w:val="0016390B"/>
    <w:rsid w:val="00180120"/>
    <w:rsid w:val="001824A9"/>
    <w:rsid w:val="0018711E"/>
    <w:rsid w:val="001A4424"/>
    <w:rsid w:val="001B042E"/>
    <w:rsid w:val="001B730B"/>
    <w:rsid w:val="001C4134"/>
    <w:rsid w:val="001C5621"/>
    <w:rsid w:val="001D1811"/>
    <w:rsid w:val="001D374A"/>
    <w:rsid w:val="001D49D5"/>
    <w:rsid w:val="002037BE"/>
    <w:rsid w:val="00206549"/>
    <w:rsid w:val="002105BC"/>
    <w:rsid w:val="00215C9F"/>
    <w:rsid w:val="00215F7D"/>
    <w:rsid w:val="00216FC1"/>
    <w:rsid w:val="002210CA"/>
    <w:rsid w:val="00237278"/>
    <w:rsid w:val="0024002F"/>
    <w:rsid w:val="00244873"/>
    <w:rsid w:val="00256917"/>
    <w:rsid w:val="00260DD1"/>
    <w:rsid w:val="002769D4"/>
    <w:rsid w:val="00281B9D"/>
    <w:rsid w:val="00282484"/>
    <w:rsid w:val="00287EF4"/>
    <w:rsid w:val="00290F69"/>
    <w:rsid w:val="00297638"/>
    <w:rsid w:val="002977E0"/>
    <w:rsid w:val="002A078A"/>
    <w:rsid w:val="002A11E3"/>
    <w:rsid w:val="002A20AC"/>
    <w:rsid w:val="002A4AF1"/>
    <w:rsid w:val="002B12AA"/>
    <w:rsid w:val="002B7DCD"/>
    <w:rsid w:val="002C4E6F"/>
    <w:rsid w:val="002C5B81"/>
    <w:rsid w:val="002C7365"/>
    <w:rsid w:val="002C78A1"/>
    <w:rsid w:val="002D6970"/>
    <w:rsid w:val="002E29F7"/>
    <w:rsid w:val="002F4790"/>
    <w:rsid w:val="00302649"/>
    <w:rsid w:val="00302AE3"/>
    <w:rsid w:val="00302D2E"/>
    <w:rsid w:val="00305C83"/>
    <w:rsid w:val="003428CA"/>
    <w:rsid w:val="00350CFB"/>
    <w:rsid w:val="0036512E"/>
    <w:rsid w:val="00367E1A"/>
    <w:rsid w:val="00373722"/>
    <w:rsid w:val="00375511"/>
    <w:rsid w:val="003764E1"/>
    <w:rsid w:val="00380277"/>
    <w:rsid w:val="00385E9D"/>
    <w:rsid w:val="00395EFF"/>
    <w:rsid w:val="00397E67"/>
    <w:rsid w:val="003B16F1"/>
    <w:rsid w:val="003D1D75"/>
    <w:rsid w:val="003D2C1F"/>
    <w:rsid w:val="003E0E44"/>
    <w:rsid w:val="003E6603"/>
    <w:rsid w:val="003E7EE7"/>
    <w:rsid w:val="003F0AC5"/>
    <w:rsid w:val="003F0D4F"/>
    <w:rsid w:val="004028F9"/>
    <w:rsid w:val="00417230"/>
    <w:rsid w:val="004174EF"/>
    <w:rsid w:val="00422E98"/>
    <w:rsid w:val="00423076"/>
    <w:rsid w:val="004338A7"/>
    <w:rsid w:val="00446E00"/>
    <w:rsid w:val="00451B9B"/>
    <w:rsid w:val="0045284A"/>
    <w:rsid w:val="00457E53"/>
    <w:rsid w:val="00465B67"/>
    <w:rsid w:val="004724F0"/>
    <w:rsid w:val="00481132"/>
    <w:rsid w:val="004843E4"/>
    <w:rsid w:val="0049016B"/>
    <w:rsid w:val="004A5AB6"/>
    <w:rsid w:val="004B3F91"/>
    <w:rsid w:val="004D41C3"/>
    <w:rsid w:val="004E462E"/>
    <w:rsid w:val="004F0B5F"/>
    <w:rsid w:val="00516EED"/>
    <w:rsid w:val="005175F2"/>
    <w:rsid w:val="00521FBD"/>
    <w:rsid w:val="00523635"/>
    <w:rsid w:val="005308EF"/>
    <w:rsid w:val="00530FA5"/>
    <w:rsid w:val="00537435"/>
    <w:rsid w:val="005508DE"/>
    <w:rsid w:val="00555892"/>
    <w:rsid w:val="00560021"/>
    <w:rsid w:val="0056683B"/>
    <w:rsid w:val="00580AC2"/>
    <w:rsid w:val="005822C3"/>
    <w:rsid w:val="00585C73"/>
    <w:rsid w:val="00591746"/>
    <w:rsid w:val="005B79F7"/>
    <w:rsid w:val="005C5BBF"/>
    <w:rsid w:val="005C740B"/>
    <w:rsid w:val="005D0EF3"/>
    <w:rsid w:val="005D3428"/>
    <w:rsid w:val="005D62FE"/>
    <w:rsid w:val="005D73E0"/>
    <w:rsid w:val="005D7D35"/>
    <w:rsid w:val="005E47EB"/>
    <w:rsid w:val="005F046D"/>
    <w:rsid w:val="005F1907"/>
    <w:rsid w:val="005F4FB6"/>
    <w:rsid w:val="006013F8"/>
    <w:rsid w:val="00607AB8"/>
    <w:rsid w:val="00623859"/>
    <w:rsid w:val="0063084B"/>
    <w:rsid w:val="00652AE4"/>
    <w:rsid w:val="00667E99"/>
    <w:rsid w:val="00686852"/>
    <w:rsid w:val="0068716C"/>
    <w:rsid w:val="00687856"/>
    <w:rsid w:val="00696297"/>
    <w:rsid w:val="00696817"/>
    <w:rsid w:val="006A0012"/>
    <w:rsid w:val="006A6BC6"/>
    <w:rsid w:val="006A772A"/>
    <w:rsid w:val="006B18A4"/>
    <w:rsid w:val="006B39AE"/>
    <w:rsid w:val="006D6D42"/>
    <w:rsid w:val="006E063B"/>
    <w:rsid w:val="006E1854"/>
    <w:rsid w:val="006F0C1D"/>
    <w:rsid w:val="007019D2"/>
    <w:rsid w:val="00702978"/>
    <w:rsid w:val="0073385B"/>
    <w:rsid w:val="00741DDF"/>
    <w:rsid w:val="00746A92"/>
    <w:rsid w:val="007506D1"/>
    <w:rsid w:val="007525B8"/>
    <w:rsid w:val="007546EE"/>
    <w:rsid w:val="007547A2"/>
    <w:rsid w:val="0076183B"/>
    <w:rsid w:val="00771684"/>
    <w:rsid w:val="00772AE9"/>
    <w:rsid w:val="007746DE"/>
    <w:rsid w:val="00775A0A"/>
    <w:rsid w:val="00793722"/>
    <w:rsid w:val="007A0353"/>
    <w:rsid w:val="007C224D"/>
    <w:rsid w:val="007C29E5"/>
    <w:rsid w:val="007E0567"/>
    <w:rsid w:val="007F4F20"/>
    <w:rsid w:val="007F7814"/>
    <w:rsid w:val="00807CE8"/>
    <w:rsid w:val="00812609"/>
    <w:rsid w:val="008320F5"/>
    <w:rsid w:val="00835B5A"/>
    <w:rsid w:val="00840294"/>
    <w:rsid w:val="0086717F"/>
    <w:rsid w:val="008731E6"/>
    <w:rsid w:val="00883E7E"/>
    <w:rsid w:val="00884E48"/>
    <w:rsid w:val="00896F6E"/>
    <w:rsid w:val="008A01AE"/>
    <w:rsid w:val="008A4003"/>
    <w:rsid w:val="008B09D8"/>
    <w:rsid w:val="008B583E"/>
    <w:rsid w:val="008C3333"/>
    <w:rsid w:val="008C5DC5"/>
    <w:rsid w:val="008D2964"/>
    <w:rsid w:val="008D4484"/>
    <w:rsid w:val="008D6ECF"/>
    <w:rsid w:val="008F3CBA"/>
    <w:rsid w:val="00902D4A"/>
    <w:rsid w:val="00904D95"/>
    <w:rsid w:val="00906394"/>
    <w:rsid w:val="00911E8D"/>
    <w:rsid w:val="00921348"/>
    <w:rsid w:val="00923565"/>
    <w:rsid w:val="009303C1"/>
    <w:rsid w:val="009334CC"/>
    <w:rsid w:val="00933940"/>
    <w:rsid w:val="009353EF"/>
    <w:rsid w:val="00936C32"/>
    <w:rsid w:val="00937795"/>
    <w:rsid w:val="00937F2D"/>
    <w:rsid w:val="009421BE"/>
    <w:rsid w:val="00942A10"/>
    <w:rsid w:val="00944B51"/>
    <w:rsid w:val="009523E7"/>
    <w:rsid w:val="0095790D"/>
    <w:rsid w:val="009661B3"/>
    <w:rsid w:val="00973FCA"/>
    <w:rsid w:val="00974CDA"/>
    <w:rsid w:val="009826F4"/>
    <w:rsid w:val="009941F1"/>
    <w:rsid w:val="009A0654"/>
    <w:rsid w:val="009A2277"/>
    <w:rsid w:val="009A54DD"/>
    <w:rsid w:val="009A6B5F"/>
    <w:rsid w:val="009D1150"/>
    <w:rsid w:val="009D1A7F"/>
    <w:rsid w:val="009D7990"/>
    <w:rsid w:val="009E3856"/>
    <w:rsid w:val="009F777C"/>
    <w:rsid w:val="00A01CED"/>
    <w:rsid w:val="00A13450"/>
    <w:rsid w:val="00A227A5"/>
    <w:rsid w:val="00A24EFF"/>
    <w:rsid w:val="00A33ECB"/>
    <w:rsid w:val="00A472E2"/>
    <w:rsid w:val="00A472E8"/>
    <w:rsid w:val="00A6359F"/>
    <w:rsid w:val="00A811AC"/>
    <w:rsid w:val="00A840FA"/>
    <w:rsid w:val="00A965E8"/>
    <w:rsid w:val="00AA2324"/>
    <w:rsid w:val="00AA70B5"/>
    <w:rsid w:val="00AB0F7E"/>
    <w:rsid w:val="00AB206C"/>
    <w:rsid w:val="00AB2950"/>
    <w:rsid w:val="00AC5E59"/>
    <w:rsid w:val="00AD109C"/>
    <w:rsid w:val="00AD130C"/>
    <w:rsid w:val="00AD25CA"/>
    <w:rsid w:val="00AD2B5E"/>
    <w:rsid w:val="00AD4F01"/>
    <w:rsid w:val="00AE47FF"/>
    <w:rsid w:val="00AF0759"/>
    <w:rsid w:val="00B039F6"/>
    <w:rsid w:val="00B07428"/>
    <w:rsid w:val="00B12802"/>
    <w:rsid w:val="00B35884"/>
    <w:rsid w:val="00B35DD2"/>
    <w:rsid w:val="00B3672C"/>
    <w:rsid w:val="00B5385A"/>
    <w:rsid w:val="00B74C35"/>
    <w:rsid w:val="00B863BB"/>
    <w:rsid w:val="00B94BB5"/>
    <w:rsid w:val="00BB30EC"/>
    <w:rsid w:val="00BB61E8"/>
    <w:rsid w:val="00BC0702"/>
    <w:rsid w:val="00BC4BFC"/>
    <w:rsid w:val="00BC5536"/>
    <w:rsid w:val="00BC5E2D"/>
    <w:rsid w:val="00BC7112"/>
    <w:rsid w:val="00BD27F4"/>
    <w:rsid w:val="00BD4C24"/>
    <w:rsid w:val="00BD6084"/>
    <w:rsid w:val="00BE0920"/>
    <w:rsid w:val="00BE2FC0"/>
    <w:rsid w:val="00BE4B68"/>
    <w:rsid w:val="00C33DDF"/>
    <w:rsid w:val="00C56E44"/>
    <w:rsid w:val="00C56E70"/>
    <w:rsid w:val="00C65296"/>
    <w:rsid w:val="00C77690"/>
    <w:rsid w:val="00C82407"/>
    <w:rsid w:val="00C906F1"/>
    <w:rsid w:val="00CB3058"/>
    <w:rsid w:val="00CC1D4C"/>
    <w:rsid w:val="00CE38F9"/>
    <w:rsid w:val="00CE4982"/>
    <w:rsid w:val="00CF3B29"/>
    <w:rsid w:val="00CF3B44"/>
    <w:rsid w:val="00CF4090"/>
    <w:rsid w:val="00CF7A77"/>
    <w:rsid w:val="00D0539F"/>
    <w:rsid w:val="00D23C01"/>
    <w:rsid w:val="00D36940"/>
    <w:rsid w:val="00D36951"/>
    <w:rsid w:val="00D3716E"/>
    <w:rsid w:val="00D444F7"/>
    <w:rsid w:val="00D5389D"/>
    <w:rsid w:val="00D67C8C"/>
    <w:rsid w:val="00D84EB0"/>
    <w:rsid w:val="00D93B06"/>
    <w:rsid w:val="00DA5E04"/>
    <w:rsid w:val="00DC701F"/>
    <w:rsid w:val="00DD119A"/>
    <w:rsid w:val="00DD22D6"/>
    <w:rsid w:val="00DD74EF"/>
    <w:rsid w:val="00DE3BC5"/>
    <w:rsid w:val="00DE6195"/>
    <w:rsid w:val="00DF6CBB"/>
    <w:rsid w:val="00E003E8"/>
    <w:rsid w:val="00E15AF0"/>
    <w:rsid w:val="00E1764F"/>
    <w:rsid w:val="00E211D3"/>
    <w:rsid w:val="00E25ADD"/>
    <w:rsid w:val="00E359B9"/>
    <w:rsid w:val="00E410C7"/>
    <w:rsid w:val="00E46BFC"/>
    <w:rsid w:val="00E51D8E"/>
    <w:rsid w:val="00E52E2F"/>
    <w:rsid w:val="00E71777"/>
    <w:rsid w:val="00E71907"/>
    <w:rsid w:val="00E85E0D"/>
    <w:rsid w:val="00E866FF"/>
    <w:rsid w:val="00E90BC6"/>
    <w:rsid w:val="00E92635"/>
    <w:rsid w:val="00EA1F21"/>
    <w:rsid w:val="00EC5A4E"/>
    <w:rsid w:val="00EC626B"/>
    <w:rsid w:val="00ED1953"/>
    <w:rsid w:val="00EE0225"/>
    <w:rsid w:val="00EE28ED"/>
    <w:rsid w:val="00EF0968"/>
    <w:rsid w:val="00EF0B64"/>
    <w:rsid w:val="00F004A3"/>
    <w:rsid w:val="00F07E6A"/>
    <w:rsid w:val="00F105B5"/>
    <w:rsid w:val="00F262D7"/>
    <w:rsid w:val="00F2737F"/>
    <w:rsid w:val="00F30BFC"/>
    <w:rsid w:val="00F447C8"/>
    <w:rsid w:val="00F528A8"/>
    <w:rsid w:val="00F542A4"/>
    <w:rsid w:val="00F621A6"/>
    <w:rsid w:val="00F75AB2"/>
    <w:rsid w:val="00F768B8"/>
    <w:rsid w:val="00F76CFE"/>
    <w:rsid w:val="00F96DCC"/>
    <w:rsid w:val="00FA1EA0"/>
    <w:rsid w:val="00FC256E"/>
    <w:rsid w:val="00FD3D32"/>
    <w:rsid w:val="00FD7F93"/>
    <w:rsid w:val="00FF075F"/>
    <w:rsid w:val="00FF633E"/>
    <w:rsid w:val="00FF66DF"/>
    <w:rsid w:val="01E403F0"/>
    <w:rsid w:val="21DF3B4D"/>
    <w:rsid w:val="23384BA9"/>
    <w:rsid w:val="2698000E"/>
    <w:rsid w:val="27DD72FD"/>
    <w:rsid w:val="41245AD6"/>
    <w:rsid w:val="448E1AF3"/>
    <w:rsid w:val="45A87F38"/>
    <w:rsid w:val="487178E9"/>
    <w:rsid w:val="541A200D"/>
    <w:rsid w:val="5437637C"/>
    <w:rsid w:val="5A95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0"/>
    <w:pPr>
      <w:jc w:val="left"/>
    </w:pPr>
  </w:style>
  <w:style w:type="paragraph" w:styleId="3">
    <w:name w:val="Body Text"/>
    <w:basedOn w:val="1"/>
    <w:link w:val="13"/>
    <w:autoRedefine/>
    <w:qFormat/>
    <w:uiPriority w:val="0"/>
    <w:pPr>
      <w:spacing w:after="120"/>
    </w:pPr>
    <w:rPr>
      <w:rFonts w:ascii="Calibri" w:hAnsi="Calibri"/>
      <w:szCs w:val="22"/>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jc w:val="left"/>
    </w:pPr>
    <w:rPr>
      <w:rFonts w:ascii="宋体" w:hAnsi="宋体" w:cs="宋体"/>
      <w:kern w:val="0"/>
      <w:sz w:val="24"/>
    </w:r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autoRedefine/>
    <w:qFormat/>
    <w:uiPriority w:val="99"/>
    <w:rPr>
      <w:sz w:val="18"/>
      <w:szCs w:val="18"/>
    </w:rPr>
  </w:style>
  <w:style w:type="paragraph" w:customStyle="1" w:styleId="11">
    <w:name w:val="Char"/>
    <w:basedOn w:val="1"/>
    <w:autoRedefine/>
    <w:qFormat/>
    <w:uiPriority w:val="0"/>
    <w:pPr>
      <w:spacing w:line="240" w:lineRule="atLeast"/>
      <w:ind w:left="420" w:firstLine="420"/>
    </w:pPr>
    <w:rPr>
      <w:szCs w:val="20"/>
    </w:rPr>
  </w:style>
  <w:style w:type="paragraph" w:styleId="12">
    <w:name w:val="List Paragraph"/>
    <w:basedOn w:val="1"/>
    <w:autoRedefine/>
    <w:qFormat/>
    <w:uiPriority w:val="34"/>
    <w:pPr>
      <w:ind w:firstLine="420" w:firstLineChars="200"/>
    </w:pPr>
  </w:style>
  <w:style w:type="character" w:customStyle="1" w:styleId="13">
    <w:name w:val="正文文本 字符"/>
    <w:basedOn w:val="8"/>
    <w:link w:val="3"/>
    <w:autoRedefine/>
    <w:qFormat/>
    <w:uiPriority w:val="0"/>
    <w:rPr>
      <w:rFonts w:ascii="Calibri" w:hAnsi="Calibri" w:eastAsia="宋体" w:cs="Times New Roman"/>
    </w:rPr>
  </w:style>
  <w:style w:type="paragraph" w:customStyle="1" w:styleId="14">
    <w:name w:val="Char1"/>
    <w:basedOn w:val="1"/>
    <w:autoRedefine/>
    <w:qFormat/>
    <w:uiPriority w:val="0"/>
    <w:pPr>
      <w:spacing w:line="240" w:lineRule="atLeast"/>
      <w:ind w:left="420" w:firstLine="420"/>
    </w:pPr>
    <w:rPr>
      <w:szCs w:val="20"/>
    </w:rPr>
  </w:style>
  <w:style w:type="character" w:customStyle="1" w:styleId="15">
    <w:name w:val="批注文字 字符"/>
    <w:basedOn w:val="8"/>
    <w:link w:val="2"/>
    <w:autoRedefine/>
    <w:semiHidden/>
    <w:qFormat/>
    <w:uiPriority w:val="0"/>
    <w:rPr>
      <w:rFonts w:ascii="Times New Roman" w:hAnsi="Times New Roman" w:eastAsia="宋体" w:cs="Times New Roman"/>
      <w:szCs w:val="24"/>
    </w:rPr>
  </w:style>
  <w:style w:type="paragraph" w:customStyle="1" w:styleId="16">
    <w:name w:val="Char2"/>
    <w:basedOn w:val="1"/>
    <w:autoRedefine/>
    <w:qFormat/>
    <w:uiPriority w:val="0"/>
    <w:pPr>
      <w:spacing w:line="240" w:lineRule="atLeast"/>
      <w:ind w:left="420" w:firstLine="42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79D1-7BE6-4AD0-8E14-DF74B73A090E}">
  <ds:schemaRefs/>
</ds:datastoreItem>
</file>

<file path=docProps/app.xml><?xml version="1.0" encoding="utf-8"?>
<Properties xmlns="http://schemas.openxmlformats.org/officeDocument/2006/extended-properties" xmlns:vt="http://schemas.openxmlformats.org/officeDocument/2006/docPropsVTypes">
  <Template>Normal</Template>
  <Pages>18</Pages>
  <Words>2392</Words>
  <Characters>13636</Characters>
  <Lines>113</Lines>
  <Paragraphs>31</Paragraphs>
  <TotalTime>18</TotalTime>
  <ScaleCrop>false</ScaleCrop>
  <LinksUpToDate>false</LinksUpToDate>
  <CharactersWithSpaces>15997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2023-08-15T02:59:00Z</dcterms:created>
  <dc:creator>chen zhenjian</dc:creator>
  <cp:lastModifiedBy>心云间</cp:lastModifiedBy>
  <cp:lastPrinted>2024-01-08T00:12:00Z</cp:lastPrinted>
  <dcterms:modified xsi:type="dcterms:W3CDTF">2024-01-08T08:36:13Z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537409E47C914CCCA5C1A48B56BA5F45_12</vt:lpwstr>
  </property>
</Properties>
</file>