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福建师范大学仓山校区文科楼—位置图</w:t>
      </w:r>
    </w:p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59450" cy="3933825"/>
            <wp:effectExtent l="0" t="0" r="1270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地址：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福建省福州市仓山区上三路32号， </w:t>
      </w:r>
    </w:p>
    <w:p>
      <w:pPr>
        <w:widowControl/>
        <w:jc w:val="lef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交通线路：</w: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 w:val="24"/>
          <w:szCs w:val="24"/>
        </w:rPr>
        <w:t>公交车（师大站/程埔头站）：4、20、26、42、47、60、66、83、106、113、115、124、126、157、K1路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地铁：地铁1号线上藤站，转地铁接驳15号专线</w:t>
      </w:r>
    </w:p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171838BB"/>
    <w:rsid w:val="27C442C0"/>
    <w:rsid w:val="33B65E88"/>
    <w:rsid w:val="34E86BF6"/>
    <w:rsid w:val="5CF3595C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dcterms:modified xsi:type="dcterms:W3CDTF">2023-03-17T00:37:57Z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49CFD2BCADAC45C1AC60619C324BB397</vt:lpwstr>
  </property>
</Properties>
</file>