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36"/>
          <w:szCs w:val="36"/>
          <w:lang w:val="en-US" w:eastAsia="zh-CN" w:bidi="ar-SA"/>
        </w:rPr>
        <w:t>福州英华职业学院</w:t>
      </w:r>
    </w:p>
    <w:p>
      <w:pPr>
        <w:pStyle w:val="11"/>
        <w:ind w:firstLine="0" w:firstLineChars="0"/>
        <w:jc w:val="center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开展“无烟学校”创建活动</w:t>
      </w:r>
      <w:r>
        <w:rPr>
          <w:rFonts w:hint="eastAsia" w:ascii="宋体" w:hAnsi="宋体"/>
          <w:b/>
          <w:color w:val="auto"/>
          <w:sz w:val="36"/>
          <w:szCs w:val="36"/>
        </w:rPr>
        <w:t>的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方案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color w:val="auto"/>
          <w:sz w:val="32"/>
          <w:szCs w:val="32"/>
        </w:rPr>
        <w:t>积极响应中共中央、国务院和省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/>
          <w:color w:val="auto"/>
          <w:sz w:val="32"/>
          <w:szCs w:val="32"/>
        </w:rPr>
        <w:t>工委、省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卫健委关于</w:t>
      </w:r>
      <w:r>
        <w:rPr>
          <w:rFonts w:hint="eastAsia" w:ascii="仿宋" w:hAnsi="仿宋" w:eastAsia="仿宋"/>
          <w:color w:val="auto"/>
          <w:sz w:val="32"/>
          <w:szCs w:val="32"/>
        </w:rPr>
        <w:t>进一步做好公共场所禁烟控烟工作和创建无烟学校活动的号召，为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落实教育部联合国家卫生健康委印发的《关于进一步加强无烟学校建设工作的通知》，</w:t>
      </w:r>
      <w:r>
        <w:rPr>
          <w:rFonts w:hint="eastAsia" w:ascii="仿宋" w:hAnsi="仿宋" w:eastAsia="仿宋"/>
          <w:color w:val="auto"/>
          <w:sz w:val="32"/>
          <w:szCs w:val="32"/>
        </w:rPr>
        <w:t>完善活动措施，加强各级领导干部和师生员工健康知识教育和控烟舆论宣传。进一步提高广大师生对吸烟危害的认识，积极主动参与控烟、戒烟活动，努力营造无烟、清洁、健康、和谐的育人环境，力争达到无烟校园的标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结合学校实际，特制定本方案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一、禁烟的意义</w:t>
      </w:r>
    </w:p>
    <w:p>
      <w:pPr>
        <w:numPr>
          <w:ilvl w:val="0"/>
          <w:numId w:val="0"/>
        </w:numPr>
        <w:ind w:firstLine="642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学院禁烟规定面前人人平等的原则，禁止在校园内吸烟，营造无烟、清洁、健康的公共环境，有利于减少吸烟和被动吸烟对健康带来的危害，有利于全校师生的身心健康，自觉遵守在校内禁止吸烟的有关规定，是自觉践行社会公德，构建平安校园，促进校园文明的需要，也是珍爱生命，尊重他人的需要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禁烟区域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除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  <w:t>学院划定的吸烟区（详见附件4）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外，福州英华职业学院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教学区、办公区、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宿舍区、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图书馆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食堂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运动场、篮球场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校内所有公共区域。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具体举措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（一）成立组织机构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为全面推进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建设，切实维护教职工和学生身体健康，特成立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建设领导小组（以下简称领导小组）。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领导小组组长由黄典焕同志担任，副组长由郑力宏同志担任，成员包括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郑宇星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林超棋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雷路平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陈简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李凌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张伟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以及各系（院、部）负责人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。领导小组下设办公室，挂靠后勤管理处，主任由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陈简同志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担任，副主任由陈巧文（人事处）、柯丽媛（学生工作部）担任，负责“无烟校园”建设日常工作。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具体工作制度如下：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、主要职责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领导小组统筹协调解决无烟学校建设工作中的重大问题，审定有关规定并推动实施，组织无烟学校建设自我评估等。领导小组办公室承担领导小组日常工作。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、主要任务分工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）开展控烟监督巡查。负责部门：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安全工作处、学生工作部、各系部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）开展控烟宣传相关工作。负责部门：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党委工作部、学生工作部、院团委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）开展劝阻吸烟、戒烟等技能培训。负责部门：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安全工作处、学生工作部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）开展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建设奖励和批评教育。负责部门：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学生工作部、院团委、人事处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）开展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建设效果自评工作。负责部门：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后勤管理处、学生工作部、人事处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、工作规则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领导小组原则上在每年初召开会议，听取领导小组办公室工作进展情况汇报，部署下一步工作。因工作需要可临时召开领导小组会议。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在无烟学校建设期间，领导小组办公室应每个季度召开1次会议，研究部署相关工作。可根据需要，临时召开相关会议。</w:t>
      </w:r>
    </w:p>
    <w:p>
      <w:pPr>
        <w:numPr>
          <w:ilvl w:val="0"/>
          <w:numId w:val="0"/>
        </w:numPr>
        <w:ind w:left="0" w:leftChars="0" w:firstLine="643" w:firstLineChars="200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加强无烟校园宣传教育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校园区域内应广泛张贴或摆放醒目的禁烟标识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(根据文件模板要求，详见附件3）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，至少包括校门口处、教学楼门口处、班级内、会议室、图书馆、食堂、卫生间、茶水间、走廊、楼梯、电梯等区域，可根据需要扩大区域。标识要醒目、位置要明显。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（责任部门：后勤管理处）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在校门口处、教学楼门口处、班级内、会议室、图书馆、卫生间、走廊、楼梯、电梯等区域张贴无烟学校管理规定和控烟宣传海报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(根据文件模板要求，详见附件3）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（责任部门：后勤管理处、党委工作部）</w:t>
      </w:r>
    </w:p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2</w:t>
      </w:r>
      <w:r>
        <w:rPr>
          <w:rFonts w:hint="eastAsia" w:ascii="仿宋" w:hAnsi="仿宋" w:eastAsia="仿宋"/>
          <w:color w:val="auto"/>
          <w:sz w:val="32"/>
          <w:szCs w:val="32"/>
        </w:rPr>
        <w:t>、辅导员召开禁止学生校园内吸烟的主题班会，宣传学校将大力开展专项整治吸烟工作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以及创建“无烟学校”的相关要求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（责任部门：学生工作部）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、利用广播、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公众号、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短视频（如抖音）</w:t>
      </w:r>
      <w:r>
        <w:rPr>
          <w:rFonts w:hint="eastAsia" w:ascii="仿宋" w:hAnsi="仿宋" w:eastAsia="仿宋"/>
          <w:color w:val="auto"/>
          <w:sz w:val="32"/>
          <w:szCs w:val="32"/>
        </w:rPr>
        <w:t>等各种宣传手段向学生宣传吸烟的危害。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（责任部门：院团委）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、大力宣传吸烟的害处以及禁烟的好处，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科任</w:t>
      </w:r>
      <w:r>
        <w:rPr>
          <w:rFonts w:hint="eastAsia" w:ascii="仿宋" w:hAnsi="仿宋" w:eastAsia="仿宋"/>
          <w:color w:val="auto"/>
          <w:sz w:val="32"/>
          <w:szCs w:val="32"/>
        </w:rPr>
        <w:t>教师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/>
          <w:color w:val="auto"/>
          <w:sz w:val="32"/>
          <w:szCs w:val="32"/>
        </w:rPr>
        <w:t>将吸烟有害的知识有机融入教学中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（责任部门：教务处）</w:t>
      </w:r>
    </w:p>
    <w:p>
      <w:pPr>
        <w:ind w:firstLine="640" w:firstLineChars="200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5、各教研室（组）、各部门不得接受烟草赞助。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（责任部门：各系（院、部））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5、吸烟人群</w:t>
      </w:r>
      <w:r>
        <w:rPr>
          <w:rFonts w:hint="eastAsia" w:ascii="仿宋" w:hAnsi="仿宋" w:eastAsia="仿宋"/>
          <w:color w:val="auto"/>
          <w:sz w:val="32"/>
          <w:szCs w:val="32"/>
        </w:rPr>
        <w:t>要自觉遵守禁烟有关规定，不在学生面前吸烟。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（责任部门：人事处）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、在建立家校联系制度的同时，加强与学生家长的联系，寻求家长的大力支持，及时通报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color w:val="auto"/>
          <w:sz w:val="32"/>
          <w:szCs w:val="32"/>
        </w:rPr>
        <w:t>开展禁烟活动的情况，对于屡教不改的学生，要求家长教育学生不吸烟，在一定程度上切断学生吸烟的经济来源，关注学生身心健康。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（责任部门：学生工作部）</w:t>
      </w:r>
      <w:r>
        <w:rPr>
          <w:rFonts w:ascii="仿宋" w:hAnsi="仿宋" w:eastAsia="仿宋"/>
          <w:color w:val="auto"/>
          <w:sz w:val="32"/>
          <w:szCs w:val="32"/>
        </w:rPr>
        <w:t xml:space="preserve"> </w:t>
      </w:r>
    </w:p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校园范围内禁止销售烟草制品以及发布各种形式的烟草广告。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第三方工作人员要自觉遵守学院禁烟的有关规定，不在禁烟场所以及学生面前吸烟。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（责任部门：后勤管理处）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四、组织实施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1、除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  <w:t>学院划定的吸烟区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外，福州英华职业学院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教学区、办公区、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宿舍区、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图书馆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食堂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运动场、篮球场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校内所有公共区域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全面禁止吸烟，即无人吸烟、无烟味、无烟头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室内不得摆放任何烟缸烟具。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（责任部门：人事处、后勤管理处、学生工作部）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教职工应当树立从我做起的意识，争当控烟表率，自觉做到不在禁烟区域、不在学生面前吸烟或敬烟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。全体教职工作为青年同学的引路人，要带头戒烟、禁烟，通过言传身教，引导学生建立健康向上的生活方式。对在院内禁烟区域吸烟的教职工，挂钩教职工年度考核指标，接到学生或者同事举报经核实后：第一次部门负责人批评教育，第二次年度考核分扣减1分，第三次年度考核分扣减3分。三次以上仍屡教不改的，年度考核分扣减5分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（责任部门：人事处）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color w:val="auto"/>
          <w:sz w:val="32"/>
          <w:szCs w:val="32"/>
        </w:rPr>
        <w:t>由学工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部</w:t>
      </w:r>
      <w:r>
        <w:rPr>
          <w:rFonts w:hint="eastAsia" w:ascii="仿宋" w:hAnsi="仿宋" w:eastAsia="仿宋"/>
          <w:color w:val="auto"/>
          <w:sz w:val="32"/>
          <w:szCs w:val="32"/>
        </w:rPr>
        <w:t>牵头，组织落实，负责学生的禁烟工作，对学生的吸烟情况进行一次摸底排查，掌握各班学生吸烟行为的情况，做好登记，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/>
          <w:color w:val="auto"/>
          <w:sz w:val="32"/>
          <w:szCs w:val="32"/>
        </w:rPr>
        <w:t>吸烟的学生进行专门的教育。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（责任部门：学生工作部）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4、组织全院青年团员发起“</w:t>
      </w:r>
      <w:r>
        <w:rPr>
          <w:rFonts w:hint="eastAsia" w:ascii="仿宋" w:hAnsi="仿宋" w:eastAsia="仿宋"/>
          <w:color w:val="auto"/>
          <w:sz w:val="32"/>
          <w:szCs w:val="32"/>
        </w:rPr>
        <w:t>校园拒绝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香</w:t>
      </w:r>
      <w:r>
        <w:rPr>
          <w:rFonts w:hint="eastAsia" w:ascii="仿宋" w:hAnsi="仿宋" w:eastAsia="仿宋"/>
          <w:color w:val="auto"/>
          <w:sz w:val="32"/>
          <w:szCs w:val="32"/>
        </w:rPr>
        <w:t>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</w:rPr>
        <w:t>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倡议</w:t>
      </w:r>
      <w:r>
        <w:rPr>
          <w:rFonts w:hint="eastAsia" w:ascii="仿宋" w:hAnsi="仿宋" w:eastAsia="仿宋"/>
          <w:color w:val="auto"/>
          <w:sz w:val="32"/>
          <w:szCs w:val="32"/>
        </w:rPr>
        <w:t>书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（责任部门：院团委）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color w:val="auto"/>
          <w:sz w:val="32"/>
          <w:szCs w:val="32"/>
        </w:rPr>
        <w:t>校护卫队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兼任</w:t>
      </w:r>
      <w:r>
        <w:rPr>
          <w:rFonts w:hint="eastAsia" w:ascii="仿宋" w:hAnsi="仿宋" w:eastAsia="仿宋"/>
          <w:color w:val="auto"/>
          <w:sz w:val="32"/>
          <w:szCs w:val="32"/>
        </w:rPr>
        <w:t>文明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纠察</w:t>
      </w:r>
      <w:r>
        <w:rPr>
          <w:rFonts w:hint="eastAsia" w:ascii="仿宋" w:hAnsi="仿宋" w:eastAsia="仿宋"/>
          <w:color w:val="auto"/>
          <w:sz w:val="32"/>
          <w:szCs w:val="32"/>
        </w:rPr>
        <w:t>队，佩戴标志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/>
          <w:color w:val="auto"/>
          <w:sz w:val="32"/>
          <w:szCs w:val="32"/>
        </w:rPr>
        <w:t>巡查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color w:val="auto"/>
          <w:sz w:val="32"/>
          <w:szCs w:val="32"/>
        </w:rPr>
        <w:t>，发现有学生抽烟要进行劝导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并登记，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监控巡查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（责任部门：安全工作处）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、要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/>
          <w:color w:val="auto"/>
          <w:sz w:val="32"/>
          <w:szCs w:val="32"/>
        </w:rPr>
        <w:t>建禁烟巡查小队，利用课间休息时间、放学时间加强吸烟巡查。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责任部门：各系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大学生自律委员会</w:t>
      </w:r>
      <w:r>
        <w:rPr>
          <w:rFonts w:hint="eastAsia" w:ascii="仿宋" w:hAnsi="仿宋" w:eastAsia="仿宋"/>
          <w:color w:val="auto"/>
          <w:sz w:val="32"/>
          <w:szCs w:val="32"/>
        </w:rPr>
        <w:t>在查房以及宿舍卫生检查时，进行香烟检查，宿舍如有烟味，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及时</w:t>
      </w:r>
      <w:r>
        <w:rPr>
          <w:rFonts w:hint="eastAsia" w:ascii="仿宋" w:hAnsi="仿宋" w:eastAsia="仿宋"/>
          <w:color w:val="auto"/>
          <w:sz w:val="32"/>
          <w:szCs w:val="32"/>
        </w:rPr>
        <w:t>进行劝导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并登记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责任部门：学生工作部）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8、辅导员在巡查过程中发现学生吸烟或者发现宿舍有烟味，要及时发现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并</w:t>
      </w:r>
      <w:r>
        <w:rPr>
          <w:rFonts w:hint="eastAsia" w:ascii="仿宋" w:hAnsi="仿宋" w:eastAsia="仿宋"/>
          <w:color w:val="auto"/>
          <w:sz w:val="32"/>
          <w:szCs w:val="32"/>
        </w:rPr>
        <w:t>批评教育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责任部门：学生工作部）</w:t>
      </w:r>
    </w:p>
    <w:p>
      <w:pPr>
        <w:ind w:firstLine="640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校园范围内禁止销售烟草制品以及发布各种形式的烟草广告。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凡第三方工作人员在学校内吸烟的，全体师生有义务阻止并及时向后勤管理处反映，后勤管理处给予第三方相应处罚。（详见附件5）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（责任部门：后勤管理处）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、领导小组办公室每季度进行控烟工作巡查或抽查，不定期组织开展联合检查，并通报结果。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（责任部门：领导小组办公室）</w:t>
      </w:r>
    </w:p>
    <w:p>
      <w:pPr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奖惩措施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1、奖励措施</w:t>
      </w:r>
    </w:p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)学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/>
          <w:color w:val="auto"/>
          <w:sz w:val="32"/>
          <w:szCs w:val="32"/>
        </w:rPr>
        <w:t>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在期末对在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无烟学校”建设活动中作出突出贡献的班级、宿舍和个人进行表彰。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)对有抽烟行为，现改正的学生，要及时在班会上进行表扬。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)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有无吸烟行为将作为</w:t>
      </w:r>
      <w:r>
        <w:rPr>
          <w:rFonts w:hint="eastAsia" w:ascii="仿宋" w:hAnsi="仿宋" w:eastAsia="仿宋"/>
          <w:color w:val="auto"/>
          <w:sz w:val="32"/>
          <w:szCs w:val="32"/>
        </w:rPr>
        <w:t>推荐“三好学生、优秀学生干部、入党积极分子、学生党员、文明宿舍、先进班级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评优评先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color w:val="auto"/>
          <w:sz w:val="32"/>
          <w:szCs w:val="32"/>
        </w:rPr>
        <w:t>等评选的一项指标。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2、惩罚措施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color w:val="auto"/>
          <w:sz w:val="32"/>
          <w:szCs w:val="32"/>
        </w:rPr>
        <w:t>对校园吸烟行为一律严肃禁止,但本着教育为主，惩罚为辅的原则对违反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color w:val="auto"/>
          <w:sz w:val="32"/>
          <w:szCs w:val="32"/>
        </w:rPr>
        <w:t>禁止吸烟的规定的学生给予先教育，后惩处的策略。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(1)对检查到吸烟行为的学生，由辅导员进行批评教育，定期谈话，并将谈话情况告知家长。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(2)对第一次发现有吸烟行为，辅导员批评教育；第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auto"/>
          <w:sz w:val="32"/>
          <w:szCs w:val="32"/>
        </w:rPr>
        <w:t>次发现有吸烟行为的，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给予警告处分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在禁烟宣传栏</w:t>
      </w:r>
      <w:r>
        <w:rPr>
          <w:rFonts w:hint="eastAsia" w:ascii="仿宋" w:hAnsi="仿宋" w:eastAsia="仿宋"/>
          <w:color w:val="auto"/>
          <w:sz w:val="32"/>
          <w:szCs w:val="32"/>
        </w:rPr>
        <w:t>进行通报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color w:val="auto"/>
          <w:sz w:val="32"/>
          <w:szCs w:val="32"/>
        </w:rPr>
        <w:t>通知家长；处分后仍不改者，加重处分，同时通知家长，让家长到校配合教育。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对在校园内贩卖香烟的学生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、商家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一经</w:t>
      </w:r>
      <w:r>
        <w:rPr>
          <w:rFonts w:hint="eastAsia" w:ascii="仿宋" w:hAnsi="仿宋" w:eastAsia="仿宋"/>
          <w:color w:val="auto"/>
          <w:sz w:val="32"/>
          <w:szCs w:val="32"/>
        </w:rPr>
        <w:t>发现严肃处理。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将遵守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color w:val="auto"/>
          <w:sz w:val="32"/>
          <w:szCs w:val="32"/>
        </w:rPr>
        <w:t>控烟制度，作为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综合测评</w:t>
      </w:r>
      <w:r>
        <w:rPr>
          <w:rFonts w:hint="eastAsia" w:ascii="仿宋" w:hAnsi="仿宋" w:eastAsia="仿宋"/>
          <w:color w:val="auto"/>
          <w:sz w:val="32"/>
          <w:szCs w:val="32"/>
        </w:rPr>
        <w:t>的一项指标，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每发现学生抽烟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，扣综合测评中德育分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1分，“英华斋”素质分0.5分，各项直至10分扣完止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八、总结评比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学工部门每学期对控制吸烟工作进行总结，并进行专项评比表彰。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福州英华职业学院</w:t>
      </w:r>
    </w:p>
    <w:p>
      <w:pPr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</w:t>
      </w:r>
      <w:r>
        <w:rPr>
          <w:rFonts w:ascii="仿宋" w:hAnsi="仿宋" w:eastAsia="仿宋"/>
          <w:color w:val="auto"/>
          <w:sz w:val="32"/>
          <w:szCs w:val="32"/>
        </w:rPr>
        <w:t>日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附件1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无烟学校领导小组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及办公室工作制度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为全面推进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建设，切实维护教职工和学生身体健康，特成立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建设领导小组（以下简称领导小组）。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领导小组组长由黄典焕同志担任（分管卫生工作的副院长），副组长由郑力宏同志担任，成员包括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郑宇星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林超棋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雷路平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陈简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李凌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张伟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以及各系（院、部）负责人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。领导小组下设办公室，挂靠后勤管理处，主任由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陈简同志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担任，副主任由陈巧文（人事处）、杨钰（学工部）担任，负责“无烟校园”建设日常工作。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具体工作制度如下：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一、主要职责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领导小组统筹协调解决无烟学校建设工作中的重大问题，审定有关规定并推动实施，组织无烟学校建设自我评估等。领导小组办公室承担领导小组日常工作。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二、主要任务分工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（一）开展控烟监督巡查。负责部门：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安全工作处、学生工作部、各系部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（二）开展控烟宣传相关工作。负责部门：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党委工作部、学生工作部、院团委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（三）开展劝阻吸烟、戒烟等技能培训。负责部门：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安全工作处、学生工作部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（四）开展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建设奖励和批评教育。负责部门：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学生工作部、院团委、人事处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（五）开展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建设效果自评工作。负责部门：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后勤管理处、学生工作部、人事处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三、工作规则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领导小组原则上在每年初召开会议，听取领导小组办公室工作进展情况汇报，部署下一步工作。因工作需要可临时召开领导小组会议。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在无烟学校建设期间，领导小组办公室应每个季度召开1次会议，研究部署相关工作。可根据需要，临时召开相关会议。</w:t>
      </w:r>
    </w:p>
    <w:p>
      <w:pPr>
        <w:rPr>
          <w:color w:val="auto"/>
        </w:rPr>
      </w:pPr>
    </w:p>
    <w:p>
      <w:pPr>
        <w:bidi w:val="0"/>
        <w:ind w:firstLine="215" w:firstLineChars="0"/>
        <w:jc w:val="left"/>
        <w:rPr>
          <w:color w:val="auto"/>
          <w:lang w:val="en-US" w:eastAsia="zh-CN"/>
        </w:rPr>
      </w:pPr>
    </w:p>
    <w:p>
      <w:pPr>
        <w:bidi w:val="0"/>
        <w:rPr>
          <w:rFonts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无烟学校管理规定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除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z w:val="32"/>
          <w:szCs w:val="32"/>
          <w:u w:val="none"/>
          <w:lang w:val="en-US" w:eastAsia="zh-CN"/>
        </w:rPr>
        <w:t>学院划定的吸烟区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外，福州英华职业学院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教学区、办公区、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宿舍区、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图书馆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食堂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运动场、篮球场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校内所有公共区域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全面禁止吸烟，即无人吸烟、无烟味、无烟头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室内不得摆放任何烟缸烟具。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二、所有教职工应当树立从我做起的意识，争当控烟表率，自觉做到不在禁烟区域、不在学生面前吸烟或敬烟。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三、在校门口、教学楼门口、班级内、会议室、图书馆、食堂、卫生间、走廊、楼梯、电梯等重点区域张贴或摆放醒目的禁烟标识。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四、校园范围内禁止销售烟草制品以及发布各种形式的烟草广告。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五、各部门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各系（院、部）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不得接受烟草赞助。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六、鼓励和帮助吸烟教职工或学生戒烟，对主动戒烟并成功戒烟的教职工或学生给予表扬。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七、凡校外人员在学校内吸烟的，校内人员有义务阻止。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八、每位教职工都应积极对控烟工作进行宣传和监督，对吸烟者耐心劝阻。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九、各年级设立控烟监督员，负责本年级和班级控烟工作。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十、领导小组办公室每季度进行控烟工作巡查或抽查，不定期组织开展联合检查，并通报结果。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本规定自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禁烟标识张贴有关要求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一、广泛张贴或摆放禁烟标识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园区域内应广泛张贴或摆放醒目的禁烟标识（基础设计模板如下图所示），至少包括校门口处、教学楼门口处、班级内、会议室、图书馆、食堂、卫生间、茶水间、走廊、楼梯、电梯等区域，可根据需要扩大区域。标识要醒目、位置要明显。</w:t>
      </w:r>
    </w:p>
    <w:p>
      <w:pPr>
        <w:pStyle w:val="6"/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drawing>
          <wp:inline distT="0" distB="0" distL="114300" distR="114300">
            <wp:extent cx="1200150" cy="192405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CellSpacing w:w="0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657350" cy="19240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CellSpacing w:w="0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 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二、布置宣传栏及展板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可在校门口处、教学楼门口处、班级内、会议室、图书馆、卫生间、走廊、楼梯、电梯等区域张贴无烟学校管理规定和控烟宣传海报（模板如下图所示），有条件的学校还可在校园内、走廊、食堂等区域摆放展板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885950" cy="2105025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sz w:val="32"/>
          <w:szCs w:val="32"/>
        </w:rPr>
        <w:t>  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885950" cy="2066925"/>
            <wp:effectExtent l="0" t="0" r="0" b="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857375" cy="2514600"/>
            <wp:effectExtent l="0" t="0" r="0" b="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sz w:val="32"/>
          <w:szCs w:val="32"/>
        </w:rPr>
        <w:t>  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866900" cy="253365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828800" cy="2571750"/>
            <wp:effectExtent l="0" t="0" r="0" b="0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sz w:val="32"/>
          <w:szCs w:val="32"/>
        </w:rPr>
        <w:t>  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790700" cy="2562225"/>
            <wp:effectExtent l="0" t="0" r="0" b="0"/>
            <wp:docPr id="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（注：无烟学校建设相关宣传素材可登陆国家卫生健康委官网获取。）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drawing>
          <wp:inline distT="0" distB="0" distL="114300" distR="114300">
            <wp:extent cx="152400" cy="152400"/>
            <wp:effectExtent l="0" t="0" r="0" b="0"/>
            <wp:docPr id="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IMG_2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"http://192.168.10.200:3333/website-webapp/common/preview_resource.action?id=52ebde682cbf41cb97abf3eb97b00da7&amp;type=rar&amp;jcrVer=1.0" \t "http://192.168.10.200:3333/app-editor/ewebeditor/_blank"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</w:rPr>
        <w:t>无烟学校-宣传海报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</w:p>
    <w:p>
      <w:pPr>
        <w:rPr>
          <w:color w:val="auto"/>
        </w:rPr>
      </w:pPr>
    </w:p>
    <w:p>
      <w:pPr>
        <w:bidi w:val="0"/>
        <w:jc w:val="left"/>
        <w:rPr>
          <w:color w:val="auto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</w:rPr>
        <w:t>学院吸烟区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学院吸烟区设有六个点区，分别设立在：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1、教学楼二、三、四各设在西侧的边角区。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2、鹤龄楼设在屋顶出口左侧。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3、公共路面设立在北门围挡侧面。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4、食堂设立在食堂屋顶中间柱子下。</w:t>
      </w:r>
    </w:p>
    <w:p>
      <w:pPr>
        <w:bidi w:val="0"/>
        <w:jc w:val="left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3399790</wp:posOffset>
            </wp:positionH>
            <wp:positionV relativeFrom="page">
              <wp:posOffset>3521710</wp:posOffset>
            </wp:positionV>
            <wp:extent cx="1587500" cy="2116455"/>
            <wp:effectExtent l="0" t="0" r="3175" b="7620"/>
            <wp:wrapNone/>
            <wp:docPr id="13" name="图片 13" descr="67bd257dd0f1d22a0467943a2c52b2b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7bd257dd0f1d22a0467943a2c52b2b7_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1690370</wp:posOffset>
            </wp:positionH>
            <wp:positionV relativeFrom="page">
              <wp:posOffset>3521710</wp:posOffset>
            </wp:positionV>
            <wp:extent cx="1598930" cy="2131060"/>
            <wp:effectExtent l="0" t="0" r="1270" b="2540"/>
            <wp:wrapNone/>
            <wp:docPr id="11" name="图片 11" descr="c530cdc8eb92c8e208a8b47b2a7490f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530cdc8eb92c8e208a8b47b2a7490f2_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3522345</wp:posOffset>
            </wp:positionV>
            <wp:extent cx="1581150" cy="2108200"/>
            <wp:effectExtent l="0" t="0" r="0" b="6350"/>
            <wp:wrapNone/>
            <wp:docPr id="10" name="图片 10" descr="c4bdeb1b35598444796d07d384be627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4bdeb1b35598444796d07d384be6276_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bidi w:val="0"/>
        <w:rPr>
          <w:color w:val="auto"/>
          <w:lang w:val="en-US" w:eastAsia="zh-CN"/>
        </w:rPr>
      </w:pPr>
    </w:p>
    <w:p>
      <w:pPr>
        <w:tabs>
          <w:tab w:val="left" w:pos="3111"/>
          <w:tab w:val="left" w:pos="5498"/>
        </w:tabs>
        <w:bidi w:val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1688465</wp:posOffset>
            </wp:positionH>
            <wp:positionV relativeFrom="page">
              <wp:posOffset>5925185</wp:posOffset>
            </wp:positionV>
            <wp:extent cx="1567180" cy="2089150"/>
            <wp:effectExtent l="0" t="0" r="4445" b="6350"/>
            <wp:wrapNone/>
            <wp:docPr id="15" name="图片 15" descr="5d5c2aabd6acc6c8daa83d555a904cd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d5c2aabd6acc6c8daa83d555a904cd8_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5924550</wp:posOffset>
            </wp:positionV>
            <wp:extent cx="1564005" cy="2085340"/>
            <wp:effectExtent l="0" t="0" r="7620" b="635"/>
            <wp:wrapNone/>
            <wp:docPr id="14" name="图片 14" descr="5c7ee715c8734e298e806912cc64aa8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c7ee715c8734e298e806912cc64aa8c_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tabs>
          <w:tab w:val="left" w:pos="5484"/>
        </w:tabs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52070</wp:posOffset>
            </wp:positionV>
            <wp:extent cx="1576705" cy="2103120"/>
            <wp:effectExtent l="0" t="0" r="4445" b="1905"/>
            <wp:wrapNone/>
            <wp:docPr id="12" name="图片 12" descr="C:\Users\58468\Desktop\微信图片_20231007151321.png微信图片_2023100715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58468\Desktop\微信图片_20231007151321.png微信图片_20231007151321"/>
                    <pic:cNvPicPr>
                      <a:picLocks noChangeAspect="1"/>
                    </pic:cNvPicPr>
                  </pic:nvPicPr>
                  <pic:blipFill>
                    <a:blip r:embed="rId21"/>
                    <a:srcRect l="15" r="15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ab/>
      </w: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tabs>
          <w:tab w:val="left" w:pos="5498"/>
        </w:tabs>
        <w:bidi w:val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p>
      <w:pPr>
        <w:bidi w:val="0"/>
        <w:rPr>
          <w:rFonts w:hint="eastAsia"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tabs>
          <w:tab w:val="left" w:pos="2409"/>
        </w:tabs>
        <w:bidi w:val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ab/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  <w:t>福州英华职业学院</w:t>
      </w:r>
    </w:p>
    <w:p>
      <w:pPr>
        <w:pStyle w:val="6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lang w:val="en-US" w:eastAsia="zh-CN"/>
        </w:rPr>
        <w:t>第三方禁烟管理办法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为了控制吸烟危害，保障师生员工健康，保护环境，减少消防隐患，根据《公共场所卫生管理条例》和《公共场所卫生管理条例实施细则》等有关规定，结合学校实际，特制定本办法。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本办法规定的禁烟行为适应于所有第三方人员。（包含基建、物业、食堂、超市、商业街店面、共享热水、消防维保、电梯维保及临时外来人员等）。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禁烟工作组织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学院设置第三方控烟工作领导小组，分管后勤处、安全处院长任组长，后勤处、安全处处长任副组长，后勤处综合科、后勤处校园管理科、后勤处膳食科、安全处综合科、安全处治安科人员为组员。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第三方控烟工作领导小组全面负责第三方禁烟工作，负责禁烟日常监督与管理。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禁烟要求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除学院设置吸烟区以外其他区域不得吸烟。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禁止一切校园售卖烟草行为，严禁超市等商业场所销售烟草制品或销售烟具，严禁一切形式自动售卖烟草制品行为。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全面禁止校园所有烟草广告、促销和赞助。各类媒体（含自媒体等新媒体形式）不得出现烟草的品牌标识等相关内容，不得发布变相烟草广告。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禁烟措施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1、所有第三方入驻学院签订相关禁烟协议。2、入校即开展禁烟知识培训及禁烟教育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第二条 第三方控烟工作领导小组定期对第三方禁烟工作进行检查，工作组组员不定期对第三方禁烟工作进行巡查，将检查结果形成报告进行汇报。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第三条 每年5月31日世界无烟日组织相关禁烟宣传活动、培训第三方人员学习相关知识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第四条 违反本规定的第三方人员，视情节严重情况，情节较轻，认错态度良好的工作小组对其进行批评教育，情节严重或认错态度不好的，第三方控烟领导小组有权开具罚款通知单，对该人员所在公司处以100元/次罚款，连续3次违反规定，对该人员所在公司处以1000元罚款。屡教不改人员列入黑名单，不继续聘用此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                                  后勤管理处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2023年9月21日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EC293"/>
    <w:multiLevelType w:val="singleLevel"/>
    <w:tmpl w:val="859EC293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1">
    <w:nsid w:val="A7B6F9DD"/>
    <w:multiLevelType w:val="singleLevel"/>
    <w:tmpl w:val="A7B6F9DD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2">
    <w:nsid w:val="E5D78C1D"/>
    <w:multiLevelType w:val="singleLevel"/>
    <w:tmpl w:val="E5D78C1D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3">
    <w:nsid w:val="1E094692"/>
    <w:multiLevelType w:val="singleLevel"/>
    <w:tmpl w:val="1E094692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  <w:bCs/>
      </w:rPr>
    </w:lvl>
  </w:abstractNum>
  <w:abstractNum w:abstractNumId="4">
    <w:nsid w:val="278A61EE"/>
    <w:multiLevelType w:val="singleLevel"/>
    <w:tmpl w:val="278A61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16E5A2B"/>
    <w:multiLevelType w:val="singleLevel"/>
    <w:tmpl w:val="616E5A2B"/>
    <w:lvl w:ilvl="0" w:tentative="0">
      <w:start w:val="1"/>
      <w:numFmt w:val="chineseCounting"/>
      <w:suff w:val="space"/>
      <w:lvlText w:val="第%1章"/>
      <w:lvlJc w:val="left"/>
      <w:rPr>
        <w:rFonts w:hint="eastAsia"/>
        <w:sz w:val="30"/>
        <w:szCs w:val="3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08EF75AE"/>
    <w:rsid w:val="01755FD8"/>
    <w:rsid w:val="026A71CD"/>
    <w:rsid w:val="04950B9E"/>
    <w:rsid w:val="04B53A61"/>
    <w:rsid w:val="08EF75AE"/>
    <w:rsid w:val="0B6E06BA"/>
    <w:rsid w:val="0B9A0A29"/>
    <w:rsid w:val="0C364685"/>
    <w:rsid w:val="0C6E2FA4"/>
    <w:rsid w:val="0DF24175"/>
    <w:rsid w:val="0FB104C7"/>
    <w:rsid w:val="18E84F59"/>
    <w:rsid w:val="1A4A3DC8"/>
    <w:rsid w:val="1D8B442F"/>
    <w:rsid w:val="1E8A5417"/>
    <w:rsid w:val="1EF36406"/>
    <w:rsid w:val="203D6B9A"/>
    <w:rsid w:val="25407ECB"/>
    <w:rsid w:val="27D45AAC"/>
    <w:rsid w:val="2E5B7B24"/>
    <w:rsid w:val="2E686645"/>
    <w:rsid w:val="3199755A"/>
    <w:rsid w:val="32C03AF5"/>
    <w:rsid w:val="356F7B15"/>
    <w:rsid w:val="35B8461D"/>
    <w:rsid w:val="3600004C"/>
    <w:rsid w:val="360F1920"/>
    <w:rsid w:val="36F238F6"/>
    <w:rsid w:val="38D96215"/>
    <w:rsid w:val="3A0D43C8"/>
    <w:rsid w:val="3ECD4126"/>
    <w:rsid w:val="3FA72BC9"/>
    <w:rsid w:val="479B4A32"/>
    <w:rsid w:val="47D20663"/>
    <w:rsid w:val="4A001853"/>
    <w:rsid w:val="59215342"/>
    <w:rsid w:val="596671F9"/>
    <w:rsid w:val="61581B1D"/>
    <w:rsid w:val="6AAB13F8"/>
    <w:rsid w:val="6CF21537"/>
    <w:rsid w:val="6EE60768"/>
    <w:rsid w:val="74D415D3"/>
    <w:rsid w:val="762425D8"/>
    <w:rsid w:val="79530C14"/>
    <w:rsid w:val="79A86190"/>
    <w:rsid w:val="7A7B26AD"/>
    <w:rsid w:val="7CED05C6"/>
    <w:rsid w:val="7DA50364"/>
    <w:rsid w:val="7F4636D2"/>
    <w:rsid w:val="7FD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next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GIF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3526</Words>
  <Characters>3551</Characters>
  <Lines>0</Lines>
  <Paragraphs>0</Paragraphs>
  <TotalTime>7</TotalTime>
  <ScaleCrop>false</ScaleCrop>
  <LinksUpToDate>false</LinksUpToDate>
  <CharactersWithSpaces>3617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2023-09-12T06:16:00Z</dcterms:created>
  <dc:creator>烟愺ば残稥ㄅ</dc:creator>
  <cp:lastModifiedBy>long</cp:lastModifiedBy>
  <cp:lastPrinted>2023-10-07T06:38:00Z</cp:lastPrinted>
  <dcterms:modified xsi:type="dcterms:W3CDTF">2023-10-08T06:28:50Z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3F04508614A14BCC9FCD9D6CAB5899A1_13</vt:lpwstr>
  </property>
</Properties>
</file>