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：</w:t>
      </w:r>
    </w:p>
    <w:p>
      <w:pPr>
        <w:pStyle w:val="9"/>
        <w:ind w:firstLine="640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福州英华职业学院</w:t>
      </w:r>
    </w:p>
    <w:p>
      <w:pPr>
        <w:pStyle w:val="9"/>
        <w:ind w:firstLine="640"/>
        <w:jc w:val="center"/>
        <w:rPr>
          <w:sz w:val="30"/>
          <w:szCs w:val="30"/>
        </w:rPr>
      </w:pPr>
      <w:r>
        <w:rPr>
          <w:rFonts w:hint="eastAsia"/>
          <w:sz w:val="32"/>
          <w:szCs w:val="32"/>
        </w:rPr>
        <w:t>网络课程教学质量评价表</w:t>
      </w:r>
    </w:p>
    <w:p>
      <w:pPr>
        <w:pStyle w:val="9"/>
        <w:jc w:val="both"/>
        <w:rPr>
          <w:rFonts w:ascii="宋体" w:eastAsia="宋体" w:cs="宋体"/>
          <w:sz w:val="21"/>
          <w:szCs w:val="21"/>
        </w:rPr>
      </w:pPr>
      <w:r>
        <w:rPr>
          <w:rFonts w:hint="eastAsia" w:ascii="宋体" w:eastAsia="宋体" w:cs="宋体"/>
          <w:sz w:val="21"/>
          <w:szCs w:val="21"/>
        </w:rPr>
        <w:t>系（部）：</w:t>
      </w:r>
      <w:r>
        <w:rPr>
          <w:rFonts w:ascii="宋体" w:eastAsia="宋体" w:cs="宋体"/>
          <w:sz w:val="21"/>
          <w:szCs w:val="21"/>
        </w:rPr>
        <w:t xml:space="preserve"> </w:t>
      </w:r>
      <w:r>
        <w:rPr>
          <w:rFonts w:hint="eastAsia" w:ascii="宋体" w:eastAsia="宋体" w:cs="宋体"/>
          <w:sz w:val="21"/>
          <w:szCs w:val="21"/>
        </w:rPr>
        <w:t xml:space="preserve">          </w:t>
      </w:r>
      <w:r>
        <w:rPr>
          <w:rFonts w:hint="eastAsia" w:ascii="宋体" w:eastAsia="宋体" w:cs="宋体"/>
          <w:sz w:val="21"/>
          <w:szCs w:val="21"/>
          <w:lang w:val="en-US" w:eastAsia="zh-CN"/>
        </w:rPr>
        <w:t xml:space="preserve">       </w:t>
      </w:r>
      <w:r>
        <w:rPr>
          <w:rFonts w:hint="eastAsia" w:ascii="宋体" w:eastAsia="宋体" w:cs="宋体"/>
          <w:sz w:val="21"/>
          <w:szCs w:val="21"/>
        </w:rPr>
        <w:t xml:space="preserve"> 任课教师：  </w:t>
      </w:r>
      <w:r>
        <w:rPr>
          <w:rFonts w:hint="eastAsia" w:ascii="宋体" w:eastAsia="宋体" w:cs="宋体"/>
          <w:sz w:val="21"/>
          <w:szCs w:val="21"/>
          <w:lang w:val="en-US" w:eastAsia="zh-CN"/>
        </w:rPr>
        <w:t xml:space="preserve">         </w:t>
      </w:r>
      <w:r>
        <w:rPr>
          <w:rFonts w:hint="eastAsia" w:ascii="宋体" w:eastAsia="宋体" w:cs="宋体"/>
          <w:sz w:val="21"/>
          <w:szCs w:val="21"/>
        </w:rPr>
        <w:t xml:space="preserve"> </w:t>
      </w:r>
      <w:r>
        <w:rPr>
          <w:rFonts w:hint="eastAsia" w:ascii="宋体" w:eastAsia="宋体" w:cs="宋体"/>
          <w:sz w:val="21"/>
          <w:szCs w:val="21"/>
          <w:lang w:val="en-US" w:eastAsia="zh-CN"/>
        </w:rPr>
        <w:t xml:space="preserve">  </w:t>
      </w:r>
      <w:r>
        <w:rPr>
          <w:rFonts w:hint="eastAsia" w:ascii="宋体" w:eastAsia="宋体" w:cs="宋体"/>
          <w:sz w:val="21"/>
          <w:szCs w:val="21"/>
        </w:rPr>
        <w:t>课程名称：</w:t>
      </w:r>
    </w:p>
    <w:p>
      <w:pPr>
        <w:spacing w:after="156" w:afterLines="50"/>
        <w:jc w:val="left"/>
        <w:rPr>
          <w:rFonts w:hint="eastAsia" w:ascii="宋体"/>
          <w:szCs w:val="21"/>
        </w:rPr>
      </w:pPr>
      <w:r>
        <w:rPr>
          <w:rFonts w:hint="eastAsia" w:ascii="宋体"/>
          <w:szCs w:val="21"/>
        </w:rPr>
        <w:t>检查时间：202</w:t>
      </w:r>
      <w:r>
        <w:rPr>
          <w:rFonts w:hint="eastAsia" w:ascii="宋体"/>
          <w:szCs w:val="21"/>
          <w:lang w:val="en-US" w:eastAsia="zh-CN"/>
        </w:rPr>
        <w:t>1</w:t>
      </w:r>
      <w:r>
        <w:rPr>
          <w:rFonts w:hint="eastAsia" w:ascii="宋体"/>
          <w:szCs w:val="21"/>
        </w:rPr>
        <w:t xml:space="preserve">年 </w:t>
      </w:r>
      <w:r>
        <w:rPr>
          <w:rFonts w:ascii="宋体"/>
          <w:szCs w:val="21"/>
        </w:rPr>
        <w:t xml:space="preserve"> </w:t>
      </w:r>
      <w:r>
        <w:rPr>
          <w:rFonts w:hint="eastAsia" w:ascii="宋体"/>
          <w:szCs w:val="21"/>
          <w:lang w:val="en-US" w:eastAsia="zh-CN"/>
        </w:rPr>
        <w:t xml:space="preserve"> </w:t>
      </w:r>
      <w:r>
        <w:rPr>
          <w:rFonts w:hint="eastAsia" w:ascii="宋体"/>
          <w:szCs w:val="21"/>
        </w:rPr>
        <w:t>月</w:t>
      </w:r>
      <w:r>
        <w:rPr>
          <w:rFonts w:ascii="宋体"/>
          <w:szCs w:val="21"/>
        </w:rPr>
        <w:t xml:space="preserve"> </w:t>
      </w:r>
      <w:r>
        <w:rPr>
          <w:rFonts w:hint="eastAsia" w:ascii="宋体"/>
          <w:szCs w:val="21"/>
        </w:rPr>
        <w:t xml:space="preserve"> </w:t>
      </w:r>
      <w:r>
        <w:rPr>
          <w:rFonts w:hint="eastAsia" w:ascii="宋体"/>
          <w:szCs w:val="21"/>
          <w:lang w:val="en-US" w:eastAsia="zh-CN"/>
        </w:rPr>
        <w:t xml:space="preserve"> </w:t>
      </w:r>
      <w:r>
        <w:rPr>
          <w:rFonts w:hint="eastAsia" w:ascii="宋体"/>
          <w:szCs w:val="21"/>
        </w:rPr>
        <w:t xml:space="preserve">日   </w:t>
      </w:r>
      <w:r>
        <w:rPr>
          <w:rFonts w:hint="eastAsia" w:ascii="宋体"/>
          <w:szCs w:val="21"/>
          <w:lang w:val="en-US" w:eastAsia="zh-CN"/>
        </w:rPr>
        <w:t xml:space="preserve">                </w:t>
      </w:r>
      <w:r>
        <w:rPr>
          <w:rFonts w:hint="eastAsia" w:ascii="宋体"/>
          <w:szCs w:val="21"/>
        </w:rPr>
        <w:t xml:space="preserve">授课班级：    </w:t>
      </w:r>
    </w:p>
    <w:p>
      <w:pPr>
        <w:spacing w:after="156" w:afterLines="50"/>
        <w:jc w:val="left"/>
        <w:rPr>
          <w:rFonts w:ascii="宋体"/>
          <w:szCs w:val="21"/>
        </w:rPr>
      </w:pPr>
      <w:r>
        <w:rPr>
          <w:rFonts w:hint="eastAsia" w:ascii="宋体"/>
          <w:szCs w:val="21"/>
        </w:rPr>
        <w:t>学生学习率（已学人数/需学人数）：</w:t>
      </w:r>
      <w:r>
        <w:rPr>
          <w:rFonts w:hint="eastAsia" w:ascii="宋体"/>
          <w:szCs w:val="21"/>
          <w:lang w:val="en-US" w:eastAsia="zh-CN"/>
        </w:rPr>
        <w:t xml:space="preserve">    </w:t>
      </w:r>
      <w:r>
        <w:rPr>
          <w:rFonts w:hint="eastAsia" w:ascii="宋体"/>
          <w:szCs w:val="21"/>
        </w:rPr>
        <w:t>%（</w:t>
      </w:r>
      <w:r>
        <w:rPr>
          <w:rFonts w:hint="eastAsia" w:ascii="宋体"/>
          <w:szCs w:val="21"/>
          <w:lang w:val="en-US" w:eastAsia="zh-CN"/>
        </w:rPr>
        <w:t xml:space="preserve">   </w:t>
      </w:r>
      <w:r>
        <w:rPr>
          <w:rFonts w:hint="eastAsia" w:ascii="宋体"/>
          <w:szCs w:val="21"/>
        </w:rPr>
        <w:t>/</w:t>
      </w:r>
      <w:r>
        <w:rPr>
          <w:rFonts w:hint="eastAsia" w:ascii="宋体"/>
          <w:szCs w:val="21"/>
          <w:lang w:val="en-US" w:eastAsia="zh-CN"/>
        </w:rPr>
        <w:t xml:space="preserve">   </w:t>
      </w:r>
      <w:r>
        <w:rPr>
          <w:rFonts w:hint="eastAsia" w:ascii="宋体"/>
          <w:szCs w:val="21"/>
        </w:rPr>
        <w:t>）</w:t>
      </w:r>
    </w:p>
    <w:tbl>
      <w:tblPr>
        <w:tblStyle w:val="6"/>
        <w:tblW w:w="86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1106"/>
        <w:gridCol w:w="466"/>
        <w:gridCol w:w="3940"/>
        <w:gridCol w:w="752"/>
        <w:gridCol w:w="752"/>
        <w:gridCol w:w="8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867" w:type="dxa"/>
            <w:vMerge w:val="restart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/>
                <w:b/>
                <w:color w:val="000000"/>
                <w:kern w:val="0"/>
                <w:sz w:val="22"/>
              </w:rPr>
              <w:t>一级</w:t>
            </w:r>
          </w:p>
          <w:p>
            <w:pPr>
              <w:jc w:val="center"/>
              <w:rPr>
                <w:rFonts w:ascii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/>
                <w:b/>
                <w:color w:val="000000"/>
                <w:kern w:val="0"/>
                <w:sz w:val="22"/>
              </w:rPr>
              <w:t>评价</w:t>
            </w:r>
          </w:p>
          <w:p>
            <w:pPr>
              <w:jc w:val="center"/>
              <w:rPr>
                <w:rFonts w:ascii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/>
                <w:b/>
                <w:color w:val="000000"/>
                <w:kern w:val="0"/>
                <w:sz w:val="22"/>
              </w:rPr>
              <w:t>项目</w:t>
            </w:r>
          </w:p>
        </w:tc>
        <w:tc>
          <w:tcPr>
            <w:tcW w:w="1106" w:type="dxa"/>
            <w:vMerge w:val="restart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/>
                <w:b/>
                <w:color w:val="000000"/>
                <w:kern w:val="0"/>
                <w:sz w:val="22"/>
              </w:rPr>
              <w:t>二级</w:t>
            </w:r>
          </w:p>
          <w:p>
            <w:pPr>
              <w:jc w:val="center"/>
              <w:rPr>
                <w:rFonts w:ascii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/>
                <w:b/>
                <w:color w:val="000000"/>
                <w:kern w:val="0"/>
                <w:sz w:val="22"/>
              </w:rPr>
              <w:t>评价</w:t>
            </w:r>
          </w:p>
          <w:p>
            <w:pPr>
              <w:jc w:val="center"/>
              <w:rPr>
                <w:rFonts w:ascii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/>
                <w:b/>
                <w:color w:val="000000"/>
                <w:kern w:val="0"/>
                <w:sz w:val="22"/>
              </w:rPr>
              <w:t>项目</w:t>
            </w:r>
          </w:p>
        </w:tc>
        <w:tc>
          <w:tcPr>
            <w:tcW w:w="466" w:type="dxa"/>
            <w:vMerge w:val="restart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/>
                <w:b/>
                <w:color w:val="000000"/>
                <w:kern w:val="0"/>
                <w:sz w:val="22"/>
              </w:rPr>
              <w:t>分值</w:t>
            </w:r>
          </w:p>
        </w:tc>
        <w:tc>
          <w:tcPr>
            <w:tcW w:w="3940" w:type="dxa"/>
            <w:vMerge w:val="restart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/>
                <w:b/>
                <w:color w:val="000000"/>
                <w:kern w:val="0"/>
                <w:sz w:val="22"/>
              </w:rPr>
              <w:t>评价标准</w:t>
            </w:r>
          </w:p>
        </w:tc>
        <w:tc>
          <w:tcPr>
            <w:tcW w:w="2316" w:type="dxa"/>
            <w:gridSpan w:val="3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 w:ascii="宋体"/>
                <w:b/>
                <w:color w:val="000000"/>
                <w:kern w:val="0"/>
                <w:sz w:val="22"/>
              </w:rPr>
              <w:t>评价结果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867" w:type="dxa"/>
            <w:vMerge w:val="continue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106" w:type="dxa"/>
            <w:vMerge w:val="continue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466" w:type="dxa"/>
            <w:vMerge w:val="continue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3940" w:type="dxa"/>
            <w:vMerge w:val="continue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752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A</w:t>
            </w:r>
          </w:p>
        </w:tc>
        <w:tc>
          <w:tcPr>
            <w:tcW w:w="752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B</w:t>
            </w:r>
          </w:p>
        </w:tc>
        <w:tc>
          <w:tcPr>
            <w:tcW w:w="812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  <w:jc w:val="center"/>
        </w:trPr>
        <w:tc>
          <w:tcPr>
            <w:tcW w:w="867" w:type="dxa"/>
            <w:vMerge w:val="restart"/>
            <w:vAlign w:val="center"/>
          </w:tcPr>
          <w:p>
            <w:pPr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/>
                <w:color w:val="000000"/>
                <w:kern w:val="0"/>
                <w:szCs w:val="21"/>
              </w:rPr>
              <w:t>教学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ascii="宋体"/>
                <w:color w:val="000000"/>
                <w:kern w:val="0"/>
                <w:szCs w:val="21"/>
              </w:rPr>
              <w:t>准备</w:t>
            </w: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提出学习要求</w:t>
            </w:r>
          </w:p>
        </w:tc>
        <w:tc>
          <w:tcPr>
            <w:tcW w:w="46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3940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ascii="宋体"/>
                <w:color w:val="000000"/>
                <w:kern w:val="0"/>
                <w:szCs w:val="21"/>
              </w:rPr>
              <w:t>按规定向学生公布课程学习要求、教学方法、学生学习要求、平时成绩构成和比例、课程考核方式等。</w:t>
            </w:r>
          </w:p>
        </w:tc>
        <w:tc>
          <w:tcPr>
            <w:tcW w:w="752" w:type="dxa"/>
            <w:vAlign w:val="center"/>
          </w:tcPr>
          <w:p>
            <w:pPr>
              <w:jc w:val="center"/>
              <w:rPr>
                <w:rFonts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9-10</w:t>
            </w:r>
          </w:p>
        </w:tc>
        <w:tc>
          <w:tcPr>
            <w:tcW w:w="752" w:type="dxa"/>
            <w:vAlign w:val="center"/>
          </w:tcPr>
          <w:p>
            <w:pPr>
              <w:jc w:val="center"/>
              <w:rPr>
                <w:rFonts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7-8</w:t>
            </w:r>
          </w:p>
        </w:tc>
        <w:tc>
          <w:tcPr>
            <w:tcW w:w="812" w:type="dxa"/>
            <w:vAlign w:val="center"/>
          </w:tcPr>
          <w:p>
            <w:pPr>
              <w:jc w:val="center"/>
              <w:rPr>
                <w:rFonts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5-6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867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学习资源推送</w:t>
            </w:r>
          </w:p>
        </w:tc>
        <w:tc>
          <w:tcPr>
            <w:tcW w:w="46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25</w:t>
            </w:r>
          </w:p>
        </w:tc>
        <w:tc>
          <w:tcPr>
            <w:tcW w:w="3940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ascii="宋体"/>
                <w:color w:val="000000"/>
                <w:kern w:val="0"/>
                <w:szCs w:val="21"/>
              </w:rPr>
              <w:t>推送学习资源丰富、质量高，与教学目标联系紧密（学习资源包括教学大纲、</w:t>
            </w:r>
            <w:r>
              <w:rPr>
                <w:rFonts w:cs="Calibri"/>
                <w:color w:val="000000"/>
                <w:kern w:val="0"/>
                <w:szCs w:val="21"/>
              </w:rPr>
              <w:t>PPT</w:t>
            </w:r>
            <w:r>
              <w:rPr>
                <w:rFonts w:hint="eastAsia" w:ascii="宋体"/>
                <w:color w:val="000000"/>
                <w:kern w:val="0"/>
                <w:szCs w:val="21"/>
              </w:rPr>
              <w:t>、讲义、视频和音频等）。</w:t>
            </w:r>
          </w:p>
        </w:tc>
        <w:tc>
          <w:tcPr>
            <w:tcW w:w="752" w:type="dxa"/>
            <w:vAlign w:val="center"/>
          </w:tcPr>
          <w:p>
            <w:pPr>
              <w:jc w:val="center"/>
              <w:rPr>
                <w:rFonts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21-25</w:t>
            </w:r>
          </w:p>
        </w:tc>
        <w:tc>
          <w:tcPr>
            <w:tcW w:w="752" w:type="dxa"/>
            <w:vAlign w:val="center"/>
          </w:tcPr>
          <w:p>
            <w:pPr>
              <w:jc w:val="center"/>
              <w:rPr>
                <w:rFonts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16-20</w:t>
            </w:r>
          </w:p>
        </w:tc>
        <w:tc>
          <w:tcPr>
            <w:tcW w:w="812" w:type="dxa"/>
            <w:vAlign w:val="center"/>
          </w:tcPr>
          <w:p>
            <w:pPr>
              <w:jc w:val="center"/>
              <w:rPr>
                <w:rFonts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11-15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  <w:jc w:val="center"/>
        </w:trPr>
        <w:tc>
          <w:tcPr>
            <w:tcW w:w="867" w:type="dxa"/>
            <w:vMerge w:val="restart"/>
            <w:vAlign w:val="center"/>
          </w:tcPr>
          <w:p>
            <w:pPr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/>
                <w:color w:val="000000"/>
                <w:kern w:val="0"/>
                <w:szCs w:val="21"/>
              </w:rPr>
              <w:t>教学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ascii="宋体"/>
                <w:color w:val="000000"/>
                <w:kern w:val="0"/>
                <w:szCs w:val="21"/>
              </w:rPr>
              <w:t>过程</w:t>
            </w: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/>
                <w:color w:val="000000"/>
                <w:kern w:val="0"/>
                <w:szCs w:val="21"/>
              </w:rPr>
              <w:t>教学内容与组织</w:t>
            </w:r>
          </w:p>
        </w:tc>
        <w:tc>
          <w:tcPr>
            <w:tcW w:w="46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3940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ascii="宋体"/>
                <w:color w:val="000000"/>
                <w:kern w:val="0"/>
                <w:szCs w:val="21"/>
              </w:rPr>
              <w:t>按照课程规划和教学目标组织教学，教学内容充实，有效利用在线资源，针对性强；教学设计体现线上教学特点，有利于调动学生思维和学习积极性；适时进行</w:t>
            </w:r>
            <w:r>
              <w:rPr>
                <w:rFonts w:ascii="宋体"/>
                <w:color w:val="000000"/>
                <w:kern w:val="0"/>
                <w:szCs w:val="21"/>
              </w:rPr>
              <w:t>“</w:t>
            </w:r>
            <w:r>
              <w:rPr>
                <w:rFonts w:hint="eastAsia" w:ascii="宋体"/>
                <w:color w:val="000000"/>
                <w:kern w:val="0"/>
                <w:szCs w:val="21"/>
              </w:rPr>
              <w:t>课堂思政</w:t>
            </w:r>
            <w:r>
              <w:rPr>
                <w:rFonts w:ascii="宋体"/>
                <w:color w:val="000000"/>
                <w:kern w:val="0"/>
                <w:szCs w:val="21"/>
              </w:rPr>
              <w:t>”</w:t>
            </w:r>
            <w:r>
              <w:rPr>
                <w:rFonts w:hint="eastAsia" w:ascii="宋体"/>
                <w:color w:val="000000"/>
                <w:kern w:val="0"/>
                <w:szCs w:val="21"/>
              </w:rPr>
              <w:t>；有效地实施考勤，课堂各环节时间分配恰当。</w:t>
            </w:r>
          </w:p>
        </w:tc>
        <w:tc>
          <w:tcPr>
            <w:tcW w:w="752" w:type="dxa"/>
            <w:vAlign w:val="center"/>
          </w:tcPr>
          <w:p>
            <w:pPr>
              <w:jc w:val="center"/>
              <w:rPr>
                <w:rFonts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18-20</w:t>
            </w:r>
          </w:p>
        </w:tc>
        <w:tc>
          <w:tcPr>
            <w:tcW w:w="752" w:type="dxa"/>
            <w:vAlign w:val="center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14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812" w:type="dxa"/>
            <w:vAlign w:val="center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5" w:hRule="atLeast"/>
          <w:jc w:val="center"/>
        </w:trPr>
        <w:tc>
          <w:tcPr>
            <w:tcW w:w="867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/>
                <w:color w:val="000000"/>
                <w:kern w:val="0"/>
                <w:szCs w:val="21"/>
              </w:rPr>
              <w:t>教学方法与手段</w:t>
            </w:r>
          </w:p>
        </w:tc>
        <w:tc>
          <w:tcPr>
            <w:tcW w:w="46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3940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ascii="宋体"/>
                <w:color w:val="000000"/>
                <w:kern w:val="0"/>
                <w:szCs w:val="21"/>
              </w:rPr>
              <w:t>熟练运用现代教学手段，教学过程充分发挥在线教学优势，教学重难点突出循序渐进；教、学有效互动；课前预习检验、布置课后作业与教学内容联系紧密；辅导答疑安排合理，及时解答学生提问。</w:t>
            </w:r>
          </w:p>
        </w:tc>
        <w:tc>
          <w:tcPr>
            <w:tcW w:w="752" w:type="dxa"/>
            <w:vAlign w:val="center"/>
          </w:tcPr>
          <w:p>
            <w:pPr>
              <w:jc w:val="center"/>
              <w:rPr>
                <w:rFonts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18-20</w:t>
            </w:r>
          </w:p>
        </w:tc>
        <w:tc>
          <w:tcPr>
            <w:tcW w:w="752" w:type="dxa"/>
            <w:vAlign w:val="center"/>
          </w:tcPr>
          <w:p>
            <w:pPr>
              <w:jc w:val="center"/>
              <w:rPr>
                <w:rFonts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14-16</w:t>
            </w:r>
          </w:p>
        </w:tc>
        <w:tc>
          <w:tcPr>
            <w:tcW w:w="812" w:type="dxa"/>
            <w:vAlign w:val="center"/>
          </w:tcPr>
          <w:p>
            <w:pPr>
              <w:jc w:val="center"/>
              <w:rPr>
                <w:rFonts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  <w:jc w:val="center"/>
        </w:trPr>
        <w:tc>
          <w:tcPr>
            <w:tcW w:w="867" w:type="dxa"/>
            <w:vMerge w:val="restart"/>
            <w:vAlign w:val="center"/>
          </w:tcPr>
          <w:p>
            <w:pPr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/>
                <w:color w:val="000000"/>
                <w:kern w:val="0"/>
                <w:szCs w:val="21"/>
              </w:rPr>
              <w:t>教学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ascii="宋体"/>
                <w:color w:val="000000"/>
                <w:kern w:val="0"/>
                <w:szCs w:val="21"/>
              </w:rPr>
              <w:t>效果</w:t>
            </w: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/>
                <w:color w:val="000000"/>
                <w:kern w:val="0"/>
                <w:szCs w:val="21"/>
              </w:rPr>
              <w:t>教师教学效果</w:t>
            </w:r>
          </w:p>
        </w:tc>
        <w:tc>
          <w:tcPr>
            <w:tcW w:w="46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3940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ascii="宋体"/>
                <w:color w:val="000000"/>
                <w:kern w:val="0"/>
                <w:szCs w:val="21"/>
              </w:rPr>
              <w:t>教学体现了创新性和挑战度；重点突出、难点突破；较好完成教学目标和教学进度；学生听课评价较好。</w:t>
            </w:r>
          </w:p>
        </w:tc>
        <w:tc>
          <w:tcPr>
            <w:tcW w:w="752" w:type="dxa"/>
            <w:vAlign w:val="center"/>
          </w:tcPr>
          <w:p>
            <w:pPr>
              <w:jc w:val="center"/>
              <w:rPr>
                <w:rFonts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9-10</w:t>
            </w:r>
          </w:p>
        </w:tc>
        <w:tc>
          <w:tcPr>
            <w:tcW w:w="752" w:type="dxa"/>
            <w:vAlign w:val="center"/>
          </w:tcPr>
          <w:p>
            <w:pPr>
              <w:jc w:val="center"/>
              <w:rPr>
                <w:rFonts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7-8</w:t>
            </w:r>
          </w:p>
        </w:tc>
        <w:tc>
          <w:tcPr>
            <w:tcW w:w="812" w:type="dxa"/>
            <w:vAlign w:val="center"/>
          </w:tcPr>
          <w:p>
            <w:pPr>
              <w:jc w:val="center"/>
              <w:rPr>
                <w:rFonts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5-6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  <w:jc w:val="center"/>
        </w:trPr>
        <w:tc>
          <w:tcPr>
            <w:tcW w:w="867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/>
                <w:color w:val="000000"/>
                <w:kern w:val="0"/>
                <w:szCs w:val="21"/>
              </w:rPr>
              <w:t>学生学习效果</w:t>
            </w:r>
          </w:p>
        </w:tc>
        <w:tc>
          <w:tcPr>
            <w:tcW w:w="46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3940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ascii="宋体"/>
                <w:color w:val="000000"/>
                <w:kern w:val="0"/>
                <w:szCs w:val="21"/>
              </w:rPr>
              <w:t>学生普遍有效地利用了教师推送的学习资源；学生积极参与教学活动，基本掌握教学内容；学生学习获得感和满意度较高。</w:t>
            </w:r>
          </w:p>
        </w:tc>
        <w:tc>
          <w:tcPr>
            <w:tcW w:w="752" w:type="dxa"/>
            <w:vAlign w:val="center"/>
          </w:tcPr>
          <w:p>
            <w:pPr>
              <w:jc w:val="center"/>
              <w:rPr>
                <w:rFonts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13-15</w:t>
            </w:r>
          </w:p>
        </w:tc>
        <w:tc>
          <w:tcPr>
            <w:tcW w:w="752" w:type="dxa"/>
            <w:vAlign w:val="center"/>
          </w:tcPr>
          <w:p>
            <w:pPr>
              <w:jc w:val="center"/>
              <w:rPr>
                <w:rFonts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10-12</w:t>
            </w:r>
          </w:p>
        </w:tc>
        <w:tc>
          <w:tcPr>
            <w:tcW w:w="812" w:type="dxa"/>
            <w:vAlign w:val="center"/>
          </w:tcPr>
          <w:p>
            <w:pPr>
              <w:jc w:val="center"/>
              <w:rPr>
                <w:rFonts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7-9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6379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/>
                <w:b/>
                <w:color w:val="000000"/>
                <w:kern w:val="0"/>
                <w:sz w:val="20"/>
                <w:szCs w:val="20"/>
              </w:rPr>
              <w:t>系部自查合计得分</w:t>
            </w:r>
          </w:p>
        </w:tc>
        <w:tc>
          <w:tcPr>
            <w:tcW w:w="2316" w:type="dxa"/>
            <w:gridSpan w:val="3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</w:pP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AB4"/>
    <w:rsid w:val="000E2E2F"/>
    <w:rsid w:val="00DD0220"/>
    <w:rsid w:val="00E73032"/>
    <w:rsid w:val="00EA4AB4"/>
    <w:rsid w:val="0AEA593B"/>
    <w:rsid w:val="28C00AAD"/>
    <w:rsid w:val="2DDF192E"/>
    <w:rsid w:val="2E651EAC"/>
    <w:rsid w:val="5A6E1A3B"/>
    <w:rsid w:val="7E303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  <w:bCs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安徽省汽车工业学校</Company>
  <Pages>2</Pages>
  <Words>107</Words>
  <Characters>614</Characters>
  <Lines>5</Lines>
  <Paragraphs>1</Paragraphs>
  <TotalTime>0</TotalTime>
  <ScaleCrop>false</ScaleCrop>
  <LinksUpToDate>false</LinksUpToDate>
  <CharactersWithSpaces>720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2020-02-24T04:12:00Z</dcterms:created>
  <dc:creator>方俊</dc:creator>
  <cp:lastModifiedBy>张倩倩</cp:lastModifiedBy>
  <dcterms:modified xsi:type="dcterms:W3CDTF">2021-01-11T06:07:10Z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